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Arial" w:hAnsi="Arial" w:cs="Arial" w:eastAsia="Times New Roman"/>
          <w:color w:val="333333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r>
    </w:p>
    <w:p>
      <w:pPr>
        <w:ind w:firstLine="709"/>
        <w:jc w:val="center"/>
        <w:spacing w:lineRule="auto" w:line="36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zh-CN"/>
        </w:rPr>
        <w:t xml:space="preserve">Консультирование по вопросам соблюдения обязательных требований 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_729"/>
        <w:ind w:firstLine="709"/>
        <w:jc w:val="center"/>
        <w:spacing w:lineRule="auto" w:line="36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в сфере муниципального земельного контроля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  <w:lang w:eastAsia="ru-RU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     1. Консультирование осуществляется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должностным лицом уполномоченного органа как в устной форме по телефону, посредством видео- конференц-связи, на личном приеме или в ходе проведения профилактического мероприятия, контрольного (надзорного) мероприятия, так и в письменной форме.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20"/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   2. Консультирование в устной и письменной формах осуществляется по следующим вопросам: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   а) компетенция уполномоченного органа;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   б) соблюдение обязательных требований;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   в) проведение контрольных (надзорных) мероприятий.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   г) применение мер ответственности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20"/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3. По итогам консультирования информация в письменной форме контролируемым ли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23"/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4.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20"/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5. В ходе консультирования информация, содержащая оценку конкретного контрольного (надзорног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20"/>
        <w:jc w:val="both"/>
        <w:spacing w:lineRule="auto" w:line="240" w:after="0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6.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both"/>
        <w:spacing w:lineRule="atLeast" w:line="408" w:after="0"/>
        <w:shd w:val="clear" w:fill="E1E9E8" w:color="auto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7.Уполномоченный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орган осуществляет учет консультирований.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jc w:val="both"/>
        <w:spacing w:lineRule="atLeast" w:line="408" w:after="0"/>
        <w:shd w:val="clear" w:fill="E1E9E8" w:color="auto"/>
        <w:rPr>
          <w:rFonts w:ascii="Times New Roman" w:hAnsi="Times New Roman" w:cs="Times New Roman" w:eastAsia="Times New Roman"/>
          <w:color w:val="333333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8.Консультирование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по однотипным обращениям контролируемых лиц и их представителей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</w:t>
      </w:r>
      <w:r>
        <w:rPr>
          <w:rFonts w:ascii="Times New Roman" w:hAnsi="Times New Roman" w:cs="Times New Roman" w:eastAsia="Times New Roman"/>
          <w:color w:val="333333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729" w:customStyle="1">
    <w:name w:val="ConsPlusNormal"/>
    <w:uiPriority w:val="99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2023-05-17T00:03:46Z</dcterms:modified>
</cp:coreProperties>
</file>