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PT Sans" w:hAnsi="PT Sans" w:cs="PT Sans" w:eastAsia="PT Sans"/>
          <w:color w:val="2D2D2D"/>
          <w:sz w:val="42"/>
        </w:rPr>
        <w:t xml:space="preserve"> Сведения о применении контрольным (надзорным) органом мер стимулирования добросовестности контролируемых лиц.</w:t>
      </w:r>
      <w:r/>
      <w:r/>
    </w:p>
    <w:p>
      <w:pPr>
        <w:ind w:left="0" w:right="0" w:firstLine="0"/>
        <w:jc w:val="both"/>
        <w:spacing w:lineRule="atLeast" w:line="330" w:after="0" w:before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highlight w:val="none"/>
        </w:rPr>
      </w:r>
      <w:r/>
    </w:p>
    <w:p>
      <w:pPr>
        <w:ind w:left="0" w:right="0" w:firstLine="720"/>
        <w:jc w:val="both"/>
        <w:spacing w:lineRule="atLeast" w:line="330" w:after="0" w:before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Положением о муниципальном земельном  контроле в муниципальном образовании Стойбинский сельсовет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утвержденное решением Стойбинского сельского Совета народных депутатов от 23.11.2021 г. № 19/54 «Об утверждении Положения о муниципальном земельном контроле в муниципальном образовании Стойбинский сельсовет»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профилактического мероприятия: меры стимулирования добросовестности - не предусмотрено.</w:t>
      </w:r>
      <w:r>
        <w:rPr>
          <w:rFonts w:ascii="Times New Roman" w:hAnsi="Times New Roman" w:cs="Times New Roman" w:eastAsia="Times New Roman"/>
          <w:color w:val="000000"/>
          <w:highlight w:val="none"/>
        </w:rPr>
      </w:r>
      <w:r/>
    </w:p>
    <w:p>
      <w:r/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PT Sans">
    <w:panose1 w:val="020B0503020203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2023-05-17T00:31:52Z</dcterms:modified>
</cp:coreProperties>
</file>