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                                  РОССИЙСКАЯ ФЕДЕРАЦИЯ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СТОЙБИНСКИЙ СЕЛЬСКИЙ СОВЕТ НАРОДНЫХ ДЕПУТАТОВ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АМУРСКОЙ ОБЛАСТИ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(восьмой созыв)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417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РЕШЕНИЕ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b/>
          <w:bCs/>
          <w:sz w:val="24"/>
          <w:szCs w:val="24"/>
          <w:lang w:eastAsia="ru-RU"/>
        </w:rPr>
      </w:r>
      <w:r>
        <w:rPr>
          <w:rFonts w:ascii="Times New Roman CYR" w:hAnsi="Times New Roman CYR" w:cs="Times New Roman CYR" w:eastAsia="Times New Roman"/>
          <w:b/>
          <w:bCs/>
          <w:sz w:val="24"/>
          <w:szCs w:val="24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22 марта 2022 г.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  <w:t xml:space="preserve">                                                                     № 6/72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p>
      <w:pPr>
        <w:jc w:val="center"/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с. Стойба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559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 утверждении ключевых показателей и их целевых значений, индикативных показателей по муниципальному контролю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  <w:t xml:space="preserve">в сфере благоустройства на территории Стойбинского сельсовета Селемджинского района Амурской области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со статьёй 30 Федерального закона от 31.07.2020   № 248-ФЗ «О государственном контроле (надзоре) и муниципальном контроле в Российской Федерации», Уставом Стойбинского сельсовета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Совет народных депутатов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b/>
          <w:bCs/>
          <w:sz w:val="28"/>
          <w:szCs w:val="28"/>
          <w:lang w:eastAsia="ru-RU"/>
        </w:rPr>
        <w:t xml:space="preserve">решил:</w:t>
      </w:r>
      <w:r>
        <w:rPr>
          <w:rFonts w:ascii="Times New Roman CYR" w:hAnsi="Times New Roman CYR" w:cs="Times New Roman CYR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76" w:after="0"/>
        <w:tabs>
          <w:tab w:val="left" w:pos="43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ключевые показатели и их целевые значения, индикативные показатели по муниципальному контролю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 сфере благоустройства на территории Стойбинского сельсовета Селемджинского района Амурской области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</w:r>
      <w:r/>
    </w:p>
    <w:p>
      <w:pPr>
        <w:ind w:firstLine="709"/>
        <w:jc w:val="both"/>
        <w:spacing w:lineRule="auto" w:line="276" w:after="0"/>
        <w:tabs>
          <w:tab w:val="left" w:pos="432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3. Настоящее решение вступает в силу со дня его обнародования в установленном законом порядке, и распространяет свое действие на правоотношения, возникшие с 1 марта 2022 года.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highlight w:val="none"/>
          <w:lang w:eastAsia="ru-RU"/>
        </w:rPr>
      </w:r>
      <w:r>
        <w:rPr>
          <w:rFonts w:ascii="Times New Roman CYR" w:hAnsi="Times New Roman CYR" w:cs="Times New Roman CYR" w:eastAsia="Times New Roman"/>
          <w:sz w:val="28"/>
          <w:szCs w:val="28"/>
          <w:highlight w:val="none"/>
          <w:lang w:eastAsia="ru-RU"/>
        </w:rPr>
      </w:r>
    </w:p>
    <w:p>
      <w:pPr>
        <w:spacing w:lineRule="atLeast" w:line="240" w:after="0"/>
        <w:rPr>
          <w:rFonts w:ascii="Times New Roman CYR" w:hAnsi="Times New Roman CYR" w:cs="Times New Roman CYR" w:eastAsia="Times New Roman"/>
          <w:sz w:val="28"/>
          <w:szCs w:val="28"/>
          <w:highlight w:val="none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Председатель Стойбинского сельского</w:t>
      </w:r>
      <w:r/>
    </w:p>
    <w:p>
      <w:pPr>
        <w:spacing w:lineRule="atLeast" w:line="240" w:after="0"/>
        <w:rPr>
          <w:rFonts w:ascii="Times New Roman CYR" w:hAnsi="Times New Roman CYR" w:cs="Times New Roman CYR" w:eastAsia="Times New Roman"/>
          <w:lang w:eastAsia="ru-RU"/>
        </w:rPr>
      </w:pP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 Совета народных </w:t>
      </w:r>
      <w:r>
        <w:rPr>
          <w:rFonts w:ascii="Times New Roman CYR" w:hAnsi="Times New Roman CYR" w:cs="Times New Roman CYR" w:eastAsia="Times New Roman"/>
          <w:sz w:val="28"/>
          <w:szCs w:val="28"/>
          <w:lang w:eastAsia="ru-RU"/>
        </w:rPr>
        <w:t xml:space="preserve">депутатов                                                         Т.А. Шевченко</w:t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22"/>
      </w:tblGrid>
      <w:tr>
        <w:trPr>
          <w:jc w:val="center"/>
        </w:trPr>
        <w:tc>
          <w:tcPr>
            <w:tcW w:w="9322" w:type="dxa"/>
            <w:textDirection w:val="lrTb"/>
            <w:noWrap w:val="false"/>
          </w:tcPr>
          <w:p>
            <w:pPr>
              <w:jc w:val="center"/>
              <w:spacing w:lineRule="auto" w:line="276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решением Совета народных депутатов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22.03.2022 № 6/72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Ключевые показатели и их целевые значения, индикативные показатели  по муниципальному контролю в сфере благоустройства на территории Стойбинского сельсовета Селемджинского района Амурской области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7"/>
          <w:szCs w:val="27"/>
        </w:rPr>
      </w:r>
      <w:r>
        <w:rPr>
          <w:rFonts w:ascii="Times New Roman" w:hAnsi="Times New Roman" w:cs="Times New Roman" w:eastAsia="Times New Roman"/>
          <w:sz w:val="27"/>
          <w:szCs w:val="27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7"/>
          <w:szCs w:val="27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Ключевые показатели по муниципальному контролю в сфере благоустройства на территории Стойбинского сельсовета Селемджинского района Амурской области и их целевые значения: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tbl>
      <w:tblPr>
        <w:tblW w:w="937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299"/>
      </w:tblGrid>
      <w:tr>
        <w:trPr>
          <w:trHeight w:val="225"/>
        </w:trPr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bottom w:val="single" w:color="000000" w:sz="8" w:space="0"/>
            </w:tcBorders>
            <w:tcW w:w="8080" w:type="dxa"/>
            <w:textDirection w:val="lrTb"/>
            <w:noWrap w:val="false"/>
          </w:tcPr>
          <w:p>
            <w:pPr>
              <w:ind w:left="15" w:hanging="75"/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Ключевые показатели</w:t>
            </w:r>
            <w:r>
              <w:rPr>
                <w:rFonts w:ascii="Times New Roman" w:hAnsi="Times New Roman" w:cs="Times New Roman" w:eastAsia="Calibri"/>
                <w:b/>
                <w:bCs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99" w:type="dxa"/>
            <w:textDirection w:val="lrTb"/>
            <w:noWrap w:val="false"/>
          </w:tcPr>
          <w:p>
            <w:pPr>
              <w:ind w:left="15" w:hanging="75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Целевые значения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105"/>
        </w:trPr>
        <w:tc>
          <w:tcPr>
            <w:shd w:val="clear" w:color="FFFFFF" w:fill="FFFFFF"/>
            <w:tcBorders>
              <w:left w:val="single" w:color="000000" w:sz="8" w:space="0"/>
              <w:bottom w:val="single" w:color="000000" w:sz="8" w:space="0"/>
            </w:tcBorders>
            <w:tcW w:w="8080" w:type="dxa"/>
            <w:textDirection w:val="lrTb"/>
            <w:noWrap w:val="false"/>
          </w:tcPr>
          <w:p>
            <w:pPr>
              <w:jc w:val="both"/>
              <w:spacing w:lineRule="atLeast" w:line="105" w:after="0"/>
              <w:rPr>
                <w:rFonts w:ascii="Times New Roman" w:hAnsi="Times New Roman" w:cs="Times New Roman" w:eastAsia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  <w:t xml:space="preserve">Доля устраненных нарушений обязательных требований от числа выявленных нарушений обязательных требований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1299" w:type="dxa"/>
            <w:textDirection w:val="lrTb"/>
            <w:noWrap w:val="false"/>
          </w:tcPr>
          <w:p>
            <w:pPr>
              <w:ind w:firstLine="15"/>
              <w:jc w:val="center"/>
              <w:spacing w:lineRule="atLeast" w:line="105" w:after="0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  <w:t xml:space="preserve">Не менее 70%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90"/>
        </w:trPr>
        <w:tc>
          <w:tcPr>
            <w:shd w:val="clear" w:color="FFFFFF" w:fill="FFFFFF"/>
            <w:tcBorders>
              <w:left w:val="single" w:color="000000" w:sz="8" w:space="0"/>
              <w:bottom w:val="single" w:color="000000" w:sz="8" w:space="0"/>
            </w:tcBorders>
            <w:tcW w:w="8080" w:type="dxa"/>
            <w:textDirection w:val="lrTb"/>
            <w:noWrap w:val="false"/>
          </w:tcPr>
          <w:p>
            <w:pPr>
              <w:jc w:val="both"/>
              <w:spacing w:lineRule="atLeast" w:line="90" w:after="0"/>
              <w:rPr>
                <w:rFonts w:ascii="Times New Roman" w:hAnsi="Times New Roman" w:cs="Times New Roman" w:eastAsia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1299" w:type="dxa"/>
            <w:textDirection w:val="lrTb"/>
            <w:noWrap w:val="false"/>
          </w:tcPr>
          <w:p>
            <w:pPr>
              <w:ind w:firstLine="15"/>
              <w:jc w:val="center"/>
              <w:spacing w:lineRule="atLeast" w:line="90" w:after="0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  <w:t xml:space="preserve">Не более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120"/>
        </w:trPr>
        <w:tc>
          <w:tcPr>
            <w:shd w:val="clear" w:color="FFFFFF" w:fill="FFFFFF"/>
            <w:tcBorders>
              <w:left w:val="single" w:color="000000" w:sz="8" w:space="0"/>
              <w:bottom w:val="single" w:color="000000" w:sz="8" w:space="0"/>
            </w:tcBorders>
            <w:tcW w:w="8080" w:type="dxa"/>
            <w:textDirection w:val="lrTb"/>
            <w:noWrap w:val="false"/>
          </w:tcPr>
          <w:p>
            <w:pPr>
              <w:jc w:val="both"/>
              <w:spacing w:lineRule="atLeast" w:line="120" w:after="0"/>
              <w:rPr>
                <w:rFonts w:ascii="Times New Roman" w:hAnsi="Times New Roman" w:cs="Times New Roman" w:eastAsia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1299" w:type="dxa"/>
            <w:textDirection w:val="lrTb"/>
            <w:noWrap w:val="false"/>
          </w:tcPr>
          <w:p>
            <w:pPr>
              <w:ind w:firstLine="15"/>
              <w:jc w:val="center"/>
              <w:spacing w:lineRule="atLeast" w:line="120" w:after="0"/>
              <w:rPr>
                <w:rFonts w:ascii="Times New Roman" w:hAnsi="Times New Roman" w:cs="Times New Roman" w:eastAsia="Times New Roman"/>
                <w:lang w:eastAsia="ar-SA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ar-SA"/>
              </w:rPr>
              <w:t xml:space="preserve">Не более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ar-SA"/>
              </w:rPr>
            </w:r>
            <w:r/>
          </w:p>
        </w:tc>
      </w:tr>
    </w:tbl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Целевое значение показателя – это показатель, к которому следует стремиться для достижения цели.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Стойбинского сельсовета Селемджинского района Амурской области: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количество внеплановых контрольных (надзорных) мероприятий, проведенных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количество внеплановых контрольных (над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количество обязательных профилактических визитов, проведенных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количество предостережений о недопустимости нарушения обязательных требований, объявленных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количество контрольных (надзорных) мероприятий, по результатам которых выявлены нарушения обязательных требований,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сумма административных штрафов, наложенных по результатам контрольных (надзорных) мероприятий,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общее количество учтенных объектов контроля на конец отчетного периода;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количество учтенных объектов контроля, отнесенных к категориям риска, по каждой из категорий риска, на конец отчетного периода;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количество учтенных контролируемых лиц на конец отчетного периода;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количество учтенных контролируемых лиц, в отношении которых проведены контрольные (надзорные) мероприятия,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общее количество жалоб, поданных контролируемыми лицами в досудебном порядке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количество жалоб, в отношении которых контрольным (надзорным) органом был нарушен срок рассмотрения,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действий (бездействий) должностных лиц контрольных (надзорных) органов недействительными,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21) количество исковых заявлений об оспаривании решений, действий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(бездействий) должностных лиц контрольных (надзорных) органов, направленных контролируемыми лицами в судебном порядке, по которым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принято решение об удовлетворении заявленных требований, за отчетный период;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муниципального  контроля (надзора)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CYR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2022-03-21T07:39:24Z</dcterms:modified>
</cp:coreProperties>
</file>