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aps/>
          <w:color w:val="000000"/>
          <w:spacing w:val="-2"/>
          <w:sz w:val="28"/>
          <w:szCs w:val="28"/>
        </w:rPr>
        <w:t xml:space="preserve">СТОЙБИНСКИЙ</w:t>
      </w:r>
      <w:r>
        <w:rPr>
          <w:rFonts w:ascii="Times New Roman" w:hAnsi="Times New Roman" w:cs="Times New Roman" w:eastAsia="Times New Roman"/>
          <w:b/>
          <w:bCs/>
          <w:caps/>
          <w:color w:val="000000"/>
          <w:spacing w:val="-2"/>
          <w:sz w:val="28"/>
          <w:szCs w:val="28"/>
        </w:rPr>
        <w:t xml:space="preserve"> СЕЛЬСКИЙ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  <w:t xml:space="preserve"> СОВЕТ НАРОДНЫХ ДЕПУТАТОВ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  <w:t xml:space="preserve">СЕЛЕМДЖИНСКОГО РАЙОНА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0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0"/>
        </w:rPr>
        <w:t xml:space="preserve">вос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0"/>
        </w:rPr>
        <w:t xml:space="preserve">ьмой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0"/>
        </w:rPr>
        <w:t xml:space="preserve"> созыв)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7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417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417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417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417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РЕШЕНИЕ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b/>
          <w:bCs/>
          <w:sz w:val="24"/>
          <w:szCs w:val="24"/>
          <w:lang w:eastAsia="ru-RU"/>
        </w:rPr>
      </w:r>
      <w:r>
        <w:rPr>
          <w:rFonts w:ascii="Times New Roman CYR" w:hAnsi="Times New Roman CYR" w:cs="Times New Roman CYR" w:eastAsia="Times New Roman"/>
          <w:b/>
          <w:bCs/>
          <w:sz w:val="24"/>
          <w:szCs w:val="24"/>
          <w:lang w:eastAsia="ru-RU"/>
        </w:rPr>
      </w:r>
      <w:r/>
    </w:p>
    <w:p>
      <w:pPr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 xml:space="preserve">22 марта 2022 г. 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ab/>
        <w:t xml:space="preserve">                                                                  № 6/71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</w:r>
      <w:r/>
    </w:p>
    <w:p>
      <w:pPr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</w:r>
      <w:r/>
    </w:p>
    <w:p>
      <w:pPr>
        <w:jc w:val="center"/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 xml:space="preserve">с. Стойба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559"/>
      </w:tblGrid>
      <w:tr>
        <w:trPr/>
        <w:tc>
          <w:tcPr>
            <w:tcW w:w="49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Об утверждении ключевых показателей и их целевых значений, индикативных показателей по муниципальному земельному контролю в   Стойбинском  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сельсовете                   Селемджинского         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района              Амурской        области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7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соответствии со статьёй 30 Федерального закона от 31.07.2020   № 248-ФЗ «О государственном контроле (надзоре) и муниципальном контроле в Российской Федерации», Уставом Стойбинского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сельсовета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 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 xml:space="preserve">Совет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 xml:space="preserve"> народных депутатов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b/>
          <w:bCs/>
          <w:sz w:val="28"/>
          <w:szCs w:val="28"/>
          <w:lang w:eastAsia="ru-RU"/>
        </w:rPr>
        <w:t xml:space="preserve">решил:</w:t>
      </w:r>
      <w:r>
        <w:rPr>
          <w:rFonts w:ascii="Times New Roman CYR" w:hAnsi="Times New Roman CYR" w:cs="Times New Roman CYR" w:eastAsia="Times New Roman"/>
          <w:b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76" w:after="0"/>
        <w:tabs>
          <w:tab w:val="left" w:pos="432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ключевые показатели и их целевые значения, индикативные показатели по муниципальному земельному контролю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в Стойбинском     сельсовете     Селемджинского района Амурской области.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</w:r>
      <w:r/>
    </w:p>
    <w:p>
      <w:pPr>
        <w:ind w:firstLine="709"/>
        <w:jc w:val="both"/>
        <w:spacing w:lineRule="auto" w:line="276" w:after="0"/>
        <w:tabs>
          <w:tab w:val="left" w:pos="432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3. Настоящее решение вступает в силу со дня его обнародования в установленном законом порядке, и распространяет свое действие на правоотношения, возникшие с 1 марта 2022 года.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</w:r>
      <w:r/>
    </w:p>
    <w:p>
      <w:pPr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</w:pPr>
      <w:r>
        <w:rPr>
          <w:rFonts w:ascii="Times New Roman" w:hAnsi="Times New Roman" w:eastAsiaTheme="minorEastAsia"/>
          <w:sz w:val="28"/>
          <w:szCs w:val="28"/>
        </w:rPr>
        <w:t xml:space="preserve">Председатель </w:t>
      </w:r>
      <w:r>
        <w:rPr>
          <w:rFonts w:ascii="Times New Roman" w:hAnsi="Times New Roman" w:eastAsiaTheme="minorEastAsia"/>
          <w:sz w:val="28"/>
          <w:szCs w:val="28"/>
        </w:rPr>
        <w:t xml:space="preserve">Стойбинского</w:t>
      </w:r>
      <w:r>
        <w:rPr>
          <w:rFonts w:ascii="Times New Roman" w:hAnsi="Times New Roman" w:eastAsiaTheme="minorEastAsia"/>
          <w:sz w:val="28"/>
          <w:szCs w:val="28"/>
        </w:rPr>
        <w:t xml:space="preserve">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eastAsiaTheme="minorEastAsia"/>
          <w:sz w:val="28"/>
          <w:szCs w:val="28"/>
        </w:rPr>
        <w:t xml:space="preserve"> сельского Совета</w:t>
      </w:r>
      <w:r>
        <w:rPr>
          <w:rFonts w:ascii="Times New Roman" w:hAnsi="Times New Roman"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 w:eastAsiaTheme="minorEastAsia"/>
          <w:sz w:val="28"/>
          <w:szCs w:val="28"/>
        </w:rPr>
        <w:t xml:space="preserve">народных депутатов                                                                 Т.А. Шевченко</w:t>
      </w:r>
      <w:r>
        <w:rPr>
          <w:rFonts w:ascii="Times New Roman" w:hAnsi="Times New Roman" w:eastAsiaTheme="minorEastAsia"/>
          <w:highlight w:val="none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eastAsiaTheme="minorEastAsia"/>
          <w:sz w:val="28"/>
          <w:szCs w:val="28"/>
        </w:rPr>
      </w:r>
      <w:r>
        <w:rPr>
          <w:rFonts w:ascii="Times New Roman" w:hAnsi="Times New Roman" w:eastAsiaTheme="minorEastAsia"/>
        </w:rPr>
      </w:r>
      <w:r>
        <w:rPr>
          <w:rFonts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 w:eastAsiaTheme="minorEastAsia"/>
          <w:bCs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 w:eastAsiaTheme="minorEastAsia"/>
          <w:bCs/>
          <w:sz w:val="28"/>
          <w:szCs w:val="28"/>
          <w:lang w:eastAsia="ru-RU"/>
        </w:rPr>
      </w:r>
      <w:r>
        <w:rPr>
          <w:rFonts w:eastAsiaTheme="minorEastAsia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22"/>
      </w:tblGrid>
      <w:tr>
        <w:trPr>
          <w:jc w:val="center"/>
        </w:trPr>
        <w:tc>
          <w:tcPr>
            <w:tcW w:w="9322" w:type="dxa"/>
            <w:textDirection w:val="lrTb"/>
            <w:noWrap w:val="false"/>
          </w:tcPr>
          <w:p>
            <w:pPr>
              <w:jc w:val="center"/>
              <w:spacing w:lineRule="auto" w:line="276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09"/>
        <w:jc w:val="both"/>
        <w:spacing w:lineRule="auto" w:line="27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 w:eastAsiaTheme="minorEastAsia"/>
          <w:lang w:eastAsia="ru-RU"/>
        </w:rPr>
      </w:r>
      <w:r>
        <w:rPr>
          <w:rFonts w:ascii="Times New Roman" w:hAnsi="Times New Roman" w:cs="Times New Roman" w:eastAsia="Times New Roman" w:eastAsiaTheme="minorEastAsia"/>
          <w:lang w:eastAsia="ru-RU"/>
        </w:rPr>
      </w:r>
      <w:r>
        <w:rPr>
          <w:rFonts w:eastAsiaTheme="minorEastAsia"/>
        </w:rPr>
      </w:r>
    </w:p>
    <w:p>
      <w:pPr>
        <w:contextualSpacing w:val="true"/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Утверждено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contextualSpacing w:val="true"/>
        <w:jc w:val="right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решением Совета народных депутатов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contextualSpacing w:val="true"/>
        <w:jc w:val="right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от 22.03.2022 № 6/71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eastAsiaTheme="min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eastAsiaTheme="min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  <w:t xml:space="preserve">Ключевые показатели и их целевые значения, индикативные показатели по муниципальному земельному контролю в Стойбинском      сельсовете Селемджинского района Амурской области</w:t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eastAsiaTheme="min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eastAsiaTheme="min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b/>
          <w:sz w:val="27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1. Ключевые показатели по муниципальному земельному контролю в Стойбинском     сельсовете Селемджинского района Амурской области и их целевые значения: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eastAsiaTheme="minorEastAsia"/>
        </w:rPr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>
        <w:trPr/>
        <w:tc>
          <w:tcPr>
            <w:shd w:val="clear" w:color="FFFFFF" w:fill="FFFFFF"/>
            <w:tcBorders>
              <w:left w:val="single" w:color="000000" w:sz="8" w:space="0"/>
              <w:top w:val="single" w:color="000000" w:sz="8" w:space="0"/>
              <w:bottom w:val="single" w:color="000000" w:sz="8" w:space="0"/>
            </w:tcBorders>
            <w:tcW w:w="7655" w:type="dxa"/>
            <w:textDirection w:val="lrTb"/>
            <w:noWrap w:val="false"/>
          </w:tcPr>
          <w:p>
            <w:pPr>
              <w:ind w:left="60" w:right="60"/>
              <w:jc w:val="center"/>
              <w:spacing w:lineRule="auto" w:line="240" w:after="100" w:before="100"/>
              <w:widowControl w:val="off"/>
              <w:rPr>
                <w:rFonts w:ascii="Times New Roman" w:hAnsi="Times New Roman" w:cs="Times New Roman" w:eastAsia="Times New Roman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  <w:t xml:space="preserve">Ключевые показатели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01" w:type="dxa"/>
            <w:textDirection w:val="lrTb"/>
            <w:noWrap w:val="false"/>
          </w:tcPr>
          <w:p>
            <w:pPr>
              <w:ind w:left="60" w:right="60"/>
              <w:jc w:val="center"/>
              <w:spacing w:lineRule="auto" w:line="240" w:after="100" w:before="100"/>
              <w:widowControl w:val="off"/>
              <w:rPr>
                <w:rFonts w:ascii="Times New Roman" w:hAnsi="Times New Roman" w:cs="Times New Roman" w:eastAsia="Times New Roman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  <w:t xml:space="preserve">Целевые значения (%)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650"/>
        </w:trPr>
        <w:tc>
          <w:tcPr>
            <w:shd w:val="clear" w:color="FFFFFF" w:fill="FFFFFF"/>
            <w:tcBorders>
              <w:left w:val="single" w:color="000000" w:sz="8" w:space="0"/>
              <w:top w:val="single" w:color="000000" w:sz="8" w:space="0"/>
              <w:bottom w:val="single" w:color="000000" w:sz="8" w:space="0"/>
            </w:tcBorders>
            <w:tcW w:w="7655" w:type="dxa"/>
            <w:textDirection w:val="lrTb"/>
            <w:noWrap w:val="false"/>
          </w:tcPr>
          <w:p>
            <w:pPr>
              <w:ind w:left="60" w:right="60"/>
              <w:spacing w:lineRule="auto" w:line="240" w:after="100" w:before="100"/>
              <w:widowControl w:val="off"/>
              <w:rPr>
                <w:rFonts w:ascii="Times New Roman" w:hAnsi="Times New Roman" w:cs="Times New Roman" w:eastAsia="Times New Roman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  <w:t xml:space="preserve">Доля устраненных нарушений обязательных требований от числа выявленных нарушений обязательных требований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01" w:type="dxa"/>
            <w:textDirection w:val="lrTb"/>
            <w:noWrap w:val="false"/>
          </w:tcPr>
          <w:p>
            <w:pPr>
              <w:ind w:left="60" w:right="60"/>
              <w:jc w:val="center"/>
              <w:spacing w:lineRule="auto" w:line="240" w:after="100" w:before="100"/>
              <w:widowControl w:val="off"/>
              <w:rPr>
                <w:rFonts w:ascii="Times New Roman" w:hAnsi="Times New Roman" w:cs="Times New Roman" w:eastAsia="Times New Roman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  <w:t xml:space="preserve">Не менее 70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8" w:space="0"/>
              <w:top w:val="single" w:color="000000" w:sz="8" w:space="0"/>
              <w:bottom w:val="single" w:color="000000" w:sz="8" w:space="0"/>
            </w:tcBorders>
            <w:tcW w:w="7655" w:type="dxa"/>
            <w:textDirection w:val="lrTb"/>
            <w:noWrap w:val="false"/>
          </w:tcPr>
          <w:p>
            <w:pPr>
              <w:ind w:left="60" w:right="60"/>
              <w:spacing w:lineRule="auto" w:line="240" w:after="100" w:before="100"/>
              <w:widowControl w:val="off"/>
              <w:rPr>
                <w:rFonts w:ascii="Times New Roman" w:hAnsi="Times New Roman" w:cs="Times New Roman" w:eastAsia="Times New Roman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01" w:type="dxa"/>
            <w:textDirection w:val="lrTb"/>
            <w:noWrap w:val="false"/>
          </w:tcPr>
          <w:p>
            <w:pPr>
              <w:ind w:left="60" w:right="60"/>
              <w:jc w:val="center"/>
              <w:spacing w:lineRule="auto" w:line="240" w:after="100" w:before="100"/>
              <w:widowControl w:val="off"/>
              <w:rPr>
                <w:rFonts w:ascii="Times New Roman" w:hAnsi="Times New Roman" w:cs="Times New Roman" w:eastAsia="Times New Roman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  <w:t xml:space="preserve">Не более 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8" w:space="0"/>
              <w:top w:val="single" w:color="000000" w:sz="8" w:space="0"/>
              <w:bottom w:val="single" w:color="000000" w:sz="8" w:space="0"/>
            </w:tcBorders>
            <w:tcW w:w="7655" w:type="dxa"/>
            <w:textDirection w:val="lrTb"/>
            <w:noWrap w:val="false"/>
          </w:tcPr>
          <w:p>
            <w:pPr>
              <w:ind w:left="60" w:right="60"/>
              <w:spacing w:lineRule="auto" w:line="240" w:after="100" w:before="100"/>
              <w:widowControl w:val="off"/>
              <w:rPr>
                <w:rFonts w:ascii="Times New Roman" w:hAnsi="Times New Roman" w:cs="Times New Roman" w:eastAsia="Times New Roman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01" w:type="dxa"/>
            <w:textDirection w:val="lrTb"/>
            <w:noWrap w:val="false"/>
          </w:tcPr>
          <w:p>
            <w:pPr>
              <w:ind w:left="60" w:right="60"/>
              <w:jc w:val="center"/>
              <w:spacing w:lineRule="auto" w:line="240" w:after="100" w:before="100"/>
              <w:widowControl w:val="off"/>
              <w:rPr>
                <w:rFonts w:ascii="Times New Roman" w:hAnsi="Times New Roman" w:cs="Times New Roman" w:eastAsia="Times New Roman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  <w:t xml:space="preserve">Не более 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928"/>
        </w:trPr>
        <w:tc>
          <w:tcPr>
            <w:shd w:val="clear" w:color="FFFFFF" w:fill="FFFFFF"/>
            <w:tcBorders>
              <w:left w:val="single" w:color="000000" w:sz="8" w:space="0"/>
              <w:top w:val="single" w:color="000000" w:sz="8" w:space="0"/>
              <w:bottom w:val="single" w:color="000000" w:sz="8" w:space="0"/>
            </w:tcBorders>
            <w:tcW w:w="7655" w:type="dxa"/>
            <w:textDirection w:val="lrTb"/>
            <w:noWrap w:val="false"/>
          </w:tcPr>
          <w:p>
            <w:pPr>
              <w:ind w:left="60" w:right="60"/>
              <w:spacing w:lineRule="auto" w:line="240" w:after="100" w:before="100"/>
              <w:widowControl w:val="off"/>
              <w:rPr>
                <w:rFonts w:ascii="Times New Roman" w:hAnsi="Times New Roman" w:cs="Times New Roman" w:eastAsia="Times New Roman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01" w:type="dxa"/>
            <w:textDirection w:val="lrTb"/>
            <w:noWrap w:val="false"/>
          </w:tcPr>
          <w:p>
            <w:pPr>
              <w:ind w:left="60" w:right="60"/>
              <w:jc w:val="center"/>
              <w:spacing w:lineRule="auto" w:line="240" w:after="100" w:before="100"/>
              <w:widowControl w:val="off"/>
              <w:rPr>
                <w:rFonts w:ascii="Times New Roman" w:hAnsi="Times New Roman" w:cs="Times New Roman" w:eastAsia="Times New Roman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  <w:t xml:space="preserve">Не более 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</w:r>
            <w:r/>
          </w:p>
        </w:tc>
      </w:tr>
    </w:tbl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18"/>
          <w:szCs w:val="18"/>
        </w:rPr>
      </w:r>
      <w:r>
        <w:rPr>
          <w:rFonts w:ascii="Times New Roman" w:hAnsi="Times New Roman" w:cs="Times New Roman" w:eastAsia="Times New Roman" w:eastAsiaTheme="minorEastAsia"/>
          <w:sz w:val="18"/>
          <w:szCs w:val="18"/>
        </w:rPr>
      </w:r>
      <w:r>
        <w:rPr>
          <w:rFonts w:eastAsiaTheme="min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Целевое значение показателя – это показатель, к которому следует стремиться для достижения цели.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</w:rPr>
      </w:r>
      <w:r>
        <w:rPr>
          <w:rFonts w:ascii="Times New Roman" w:hAnsi="Times New Roman" w:cs="Times New Roman" w:eastAsia="Times New Roman" w:eastAsiaTheme="minorEastAsia"/>
        </w:rPr>
      </w:r>
      <w:r>
        <w:rPr>
          <w:rFonts w:eastAsiaTheme="min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2. Индикативные показатели по муниципальному земельному контролю в Стойбинском  сельсовете Селемджинского района Амурской области: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1) количество внеплановых контрольных (надзорных) мероприятий, проведенных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2) 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обязательных требований, или отклонения объекта контроля от таких параметров,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3) общее количество контрольных (надзорных) мероприятий с взаимодействием, проведенных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4) количество контрольных (надзорных) мероприятий с взаимодействием по каждому виду КНМ, проведенных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5) количество контрольных (надзорных) мероприятий, проведенных с использованием средств дистанционного взаимодействия,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6) количество обязательных профилактических визитов, проведенных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7) количество предостережений о недопустимости нарушения обязательных требований, объявленных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8) количество контрольных (надзорных) мероприятий, по результатам которых выявлены нарушения обязательных требований,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9)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10) сумма административных штрафов, наложенных по результатам контрольных (надзорных) мероприятий,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13) общее количество учтенных объектов контроля на конец отчетного периода;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14) количество учтенных объектов контроля, отнесенных к категориям риска, по каждой из категорий риска, на конец отчетного периода;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15) количество учтенных контролируемых лиц на конец отчетного периода;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16) количество учтенных контролируемых лиц, в отношении которых проведены контрольные (надзорные) мероприятия,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17) общее количество жалоб, поданных контролируемыми лицами в досудебном порядке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18) количество жалоб, в отношении которых контрольным (надзорным) органом был нарушен срок рассмотрения,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19)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действий (бездействий) должностных лиц контрольных (надзорных) органов недействительными,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20) количество исковых заявлений об оспаривании решений, действий (бездействий) должностных лиц контрольных (надзорных) органов,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направленных контролируемыми лицами в судебном порядке,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21) количество исковых заявлений об оспаривании решений, действий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22) количество контрольных (надзорных) мероприятий, проведенных с грубым нарушением требований к организации и осуществлению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муниципального  контроля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(надзора) и результаты которых были признаны недействительными и (или) отменены, за отчетный период.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 w:eastAsiaTheme="minorEastAsia"/>
          <w:color w:val="FF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 w:eastAsiaTheme="minorEastAsia"/>
          <w:color w:val="FF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 w:eastAsiaTheme="minorEastAsia"/>
          <w:color w:val="FF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 w:eastAsiaTheme="minorEastAsia"/>
          <w:color w:val="FF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 w:eastAsiaTheme="minorEastAsia"/>
          <w:color w:val="FF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 w:eastAsiaTheme="minorEastAsia"/>
          <w:color w:val="FF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r>
        <w:rPr>
          <w:rFonts w:eastAsiaTheme="minorEastAsia"/>
        </w:rPr>
      </w:r>
      <w:r>
        <w:rPr>
          <w:rFonts w:eastAsiaTheme="minorEastAsia"/>
        </w:rPr>
      </w:r>
    </w:p>
    <w:p>
      <w:r>
        <w:rPr>
          <w:rFonts w:eastAsiaTheme="minorEastAsia"/>
        </w:rPr>
      </w:r>
      <w:r>
        <w:rPr>
          <w:rFonts w:eastAsiaTheme="minorEastAsia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2022-03-21T07:12:14Z</dcterms:modified>
</cp:coreProperties>
</file>