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РОССИЙСКАЯ ФЕДЕРАЦИЯ</w:t>
      </w:r>
      <w:r>
        <w:rPr>
          <w:rFonts w:ascii="Times New Roman" w:hAnsi="Times New Roman"/>
          <w:b/>
          <w:sz w:val="28"/>
          <w:szCs w:val="28"/>
        </w:rPr>
        <w:br/>
        <w:t xml:space="preserve">АДМИНИСТРАЦИЯ СТОЙБИНСКОГО СЕЛЬСОВЕТА СЕЛЕМДЖИНСКОГО РАЙОНА</w:t>
      </w:r>
      <w:r>
        <w:rPr>
          <w:rFonts w:ascii="Times New Roman" w:hAnsi="Times New Roman"/>
          <w:b/>
          <w:sz w:val="28"/>
          <w:szCs w:val="28"/>
        </w:rPr>
        <w:br/>
        <w:t xml:space="preserve">АМУРСКОЙ ОБЛАСТИ</w:t>
      </w:r>
      <w:r/>
    </w:p>
    <w:p>
      <w:pPr>
        <w:jc w:val="center"/>
        <w:spacing w:lineRule="auto" w:line="240"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jc w:val="center"/>
        <w:spacing w:lineRule="auto" w:line="240"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jc w:val="center"/>
        <w:spacing w:lineRule="auto" w:line="240"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ПОСТАНОВЛЕНИЕ</w:t>
      </w:r>
      <w:r/>
    </w:p>
    <w:p>
      <w:pPr>
        <w:jc w:val="center"/>
        <w:spacing w:lineRule="auto" w:line="240"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jc w:val="center"/>
        <w:spacing w:lineRule="auto" w:line="240"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</w:t>
      </w:r>
      <w:r>
        <w:rPr>
          <w:rFonts w:ascii="Times New Roman" w:hAnsi="Times New Roman"/>
          <w:sz w:val="28"/>
          <w:szCs w:val="28"/>
        </w:rPr>
        <w:t xml:space="preserve">13</w:t>
      </w:r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ноября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202</w:t>
      </w:r>
      <w:r>
        <w:rPr>
          <w:rFonts w:ascii="Times New Roman" w:hAnsi="Times New Roman"/>
          <w:sz w:val="28"/>
          <w:szCs w:val="28"/>
        </w:rPr>
        <w:t xml:space="preserve">3 г.                                                                                     №</w:t>
      </w:r>
      <w:r>
        <w:rPr>
          <w:rFonts w:ascii="Times New Roman" w:hAnsi="Times New Roman"/>
          <w:sz w:val="28"/>
          <w:szCs w:val="28"/>
        </w:rPr>
        <w:t xml:space="preserve"> 45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/>
    </w:p>
    <w:p>
      <w:pPr>
        <w:jc w:val="center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с. Стойба</w:t>
      </w:r>
      <w:r/>
    </w:p>
    <w:p>
      <w:pPr>
        <w:jc w:val="center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jc w:val="center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tbl>
      <w:tblPr>
        <w:tblStyle w:val="628"/>
        <w:tblW w:w="15165" w:type="dxa"/>
        <w:tblInd w:w="-176" w:type="dxa"/>
        <w:tblBorders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insideV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30"/>
        <w:gridCol w:w="3539"/>
        <w:gridCol w:w="5834"/>
        <w:gridCol w:w="646"/>
        <w:gridCol w:w="4816"/>
      </w:tblGrid>
      <w:tr>
        <w:trPr>
          <w:trHeight w:val="2505"/>
        </w:trPr>
        <w:tc>
          <w:tcPr>
            <w:gridSpan w:val="4"/>
            <w:tcBorders>
              <w:bottom w:val="none" w:color="000000" w:sz="4" w:space="0"/>
            </w:tcBorders>
            <w:tcW w:w="10349" w:type="dxa"/>
            <w:textDirection w:val="lrTb"/>
            <w:noWrap w:val="false"/>
          </w:tcPr>
          <w:p>
            <w:pPr>
              <w:spacing w:lineRule="auto" w:line="240" w:after="0"/>
              <w:widowControl w:val="off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Об утверждении муниципальной</w:t>
            </w:r>
            <w:r/>
          </w:p>
          <w:p>
            <w:pPr>
              <w:spacing w:lineRule="auto" w:line="240" w:after="0"/>
              <w:widowControl w:val="off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Программы «О государственной </w:t>
            </w:r>
            <w:r/>
          </w:p>
          <w:p>
            <w:pPr>
              <w:spacing w:lineRule="auto" w:line="240" w:after="0"/>
              <w:widowControl w:val="off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регистрации прав собственности </w:t>
            </w:r>
            <w:r/>
          </w:p>
          <w:p>
            <w:pPr>
              <w:spacing w:lineRule="auto" w:line="240" w:after="0"/>
              <w:widowControl w:val="off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на муниципальное имущество</w:t>
            </w:r>
            <w:r/>
          </w:p>
          <w:p>
            <w:pPr>
              <w:spacing w:lineRule="auto" w:line="240" w:after="0"/>
              <w:widowControl w:val="off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Стойбинского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 сельсовета </w:t>
            </w:r>
            <w:r/>
          </w:p>
          <w:p>
            <w:pPr>
              <w:spacing w:lineRule="auto" w:line="240" w:after="0"/>
              <w:widowControl w:val="off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Селемджинского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 района на </w:t>
            </w:r>
            <w:r/>
          </w:p>
          <w:p>
            <w:pPr>
              <w:spacing w:lineRule="auto" w:line="240" w:after="0"/>
              <w:widowControl w:val="off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202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4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-202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6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 годы»</w:t>
            </w:r>
            <w:r/>
          </w:p>
          <w:p>
            <w:pPr>
              <w:spacing w:lineRule="auto" w:line="240" w:after="0"/>
              <w:widowControl w:val="off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r>
            <w:r/>
          </w:p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      В целях государственной регистрации прав собственности на муниципальное имущество и определение стоимости муниципальног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о имущества, на основании Федерального Закона № 131-ФЗ от 06.10.2003г. «Об общих принципах организации местного самоуправления в Российской Федерации», Федерального Закона № 122-ФЗ «О государственной регистрации прав на недвижимое имущество и сделок с ним»</w:t>
            </w:r>
            <w:r/>
          </w:p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 w:eastAsia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sz w:val="28"/>
                <w:szCs w:val="28"/>
                <w:lang w:eastAsia="ru-RU"/>
              </w:rPr>
              <w:t xml:space="preserve">постановляю:</w:t>
            </w:r>
            <w:r/>
          </w:p>
          <w:p>
            <w:pPr>
              <w:ind w:left="360"/>
              <w:jc w:val="both"/>
              <w:spacing w:lineRule="auto" w:line="240" w:after="0"/>
              <w:widowControl w:val="off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     1. 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Утвердить муниципальную программу «О государственной регистрации 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прав собственности на муниципальное имущество администрации 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Стойбинского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сельсовета,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Селемджинского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 района, Амурской области на 202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4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 – 202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6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годы».</w:t>
            </w:r>
            <w:r/>
          </w:p>
          <w:p>
            <w:pPr>
              <w:pStyle w:val="629"/>
              <w:ind w:left="458" w:firstLine="262"/>
              <w:jc w:val="both"/>
              <w:spacing w:lineRule="auto" w:line="240" w:after="0"/>
              <w:widowControl w:val="off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2. 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Настоящее постановление вступает в силу с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 01.01.202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4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г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 и подлежит размещению на официальном сайте администрации 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Стойбинского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 сельсовета.</w:t>
            </w:r>
            <w:r/>
          </w:p>
          <w:p>
            <w:pPr>
              <w:pStyle w:val="629"/>
              <w:ind w:left="458" w:firstLine="262"/>
              <w:jc w:val="both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3. Постановление главы 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Стойбинского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 сельсовета от 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02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.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11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.202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2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г № 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61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 об утверждения муниципальной программы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 «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О государственной регистрации прав собственности на муниципальное имущество 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Стойбинского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 сельсовета 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Селемджинского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 района на 202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3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-202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5 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годы»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 считать утративши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м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 силу с 01.01.202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4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г.</w:t>
            </w:r>
            <w:r/>
          </w:p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        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4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Контроль за исполнением настоящего постановления оставляю за собой.</w:t>
            </w:r>
            <w:r/>
          </w:p>
          <w:p>
            <w:pPr>
              <w:pStyle w:val="629"/>
              <w:spacing w:lineRule="auto" w:line="240" w:after="0"/>
              <w:widowControl w:val="off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r>
            <w:r/>
          </w:p>
          <w:p>
            <w:pPr>
              <w:pStyle w:val="629"/>
              <w:spacing w:lineRule="auto" w:line="240" w:after="0"/>
              <w:widowControl w:val="off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r>
            <w:r/>
          </w:p>
          <w:p>
            <w:pPr>
              <w:spacing w:lineRule="auto" w:line="240" w:after="0"/>
              <w:widowControl w:val="off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        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Глава 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Стойбинского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 сельсовета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                                               А. А. Даниленко</w:t>
            </w:r>
            <w:r/>
          </w:p>
          <w:p>
            <w:pPr>
              <w:pStyle w:val="629"/>
              <w:spacing w:lineRule="auto" w:line="240" w:after="0"/>
              <w:widowControl w:val="off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r>
            <w:r/>
          </w:p>
          <w:p>
            <w:pPr>
              <w:pStyle w:val="629"/>
              <w:spacing w:lineRule="auto" w:line="240" w:after="0"/>
              <w:widowControl w:val="off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r>
            <w:r/>
          </w:p>
          <w:p>
            <w:pPr>
              <w:pStyle w:val="629"/>
              <w:spacing w:lineRule="auto" w:line="240" w:after="0"/>
              <w:widowControl w:val="off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r>
            <w:r/>
          </w:p>
          <w:p>
            <w:pPr>
              <w:spacing w:lineRule="auto" w:line="240" w:after="0"/>
              <w:widowControl w:val="off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</w:t>
            </w:r>
            <w:r/>
          </w:p>
          <w:p>
            <w:pPr>
              <w:jc w:val="right"/>
              <w:spacing w:lineRule="auto" w:line="240" w:after="0"/>
              <w:widowControl w:val="off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 «УТВЕРЖДЕНО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»</w:t>
            </w:r>
            <w:r/>
          </w:p>
          <w:p>
            <w:pPr>
              <w:pStyle w:val="629"/>
              <w:jc w:val="right"/>
              <w:spacing w:lineRule="auto" w:line="240" w:after="0"/>
              <w:widowControl w:val="off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Постановлением администрации </w:t>
            </w:r>
            <w:r/>
          </w:p>
          <w:p>
            <w:pPr>
              <w:pStyle w:val="629"/>
              <w:jc w:val="right"/>
              <w:spacing w:lineRule="auto" w:line="240" w:after="0"/>
              <w:widowControl w:val="off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Стойбинского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 сельсовета</w:t>
            </w:r>
            <w:r/>
          </w:p>
          <w:p>
            <w:pPr>
              <w:pStyle w:val="629"/>
              <w:jc w:val="right"/>
              <w:spacing w:lineRule="auto" w:line="240" w:after="0"/>
              <w:widowControl w:val="off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От «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13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»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ноября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202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3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г. №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 45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 </w:t>
            </w:r>
            <w:r/>
          </w:p>
          <w:p>
            <w:pPr>
              <w:pStyle w:val="629"/>
              <w:jc w:val="right"/>
              <w:spacing w:lineRule="auto" w:line="240" w:after="0"/>
              <w:widowControl w:val="off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r>
            <w:r/>
          </w:p>
          <w:p>
            <w:pPr>
              <w:pStyle w:val="629"/>
              <w:jc w:val="right"/>
              <w:spacing w:lineRule="auto" w:line="240" w:after="0"/>
              <w:widowControl w:val="off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r>
            <w:r/>
          </w:p>
          <w:p>
            <w:pPr>
              <w:pStyle w:val="629"/>
              <w:jc w:val="right"/>
              <w:spacing w:lineRule="auto" w:line="240" w:after="0"/>
              <w:widowControl w:val="off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r>
            <w:r/>
          </w:p>
          <w:p>
            <w:pPr>
              <w:pStyle w:val="629"/>
              <w:jc w:val="right"/>
              <w:spacing w:lineRule="auto" w:line="240" w:after="0"/>
              <w:widowControl w:val="off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r>
            <w:r/>
          </w:p>
          <w:p>
            <w:pPr>
              <w:pStyle w:val="629"/>
              <w:jc w:val="right"/>
              <w:spacing w:lineRule="auto" w:line="240" w:after="0"/>
              <w:widowControl w:val="off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r>
            <w:r/>
          </w:p>
          <w:p>
            <w:pPr>
              <w:pStyle w:val="629"/>
              <w:jc w:val="right"/>
              <w:spacing w:lineRule="auto" w:line="240" w:after="0"/>
              <w:widowControl w:val="off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r>
            <w:r/>
          </w:p>
          <w:p>
            <w:pPr>
              <w:pStyle w:val="629"/>
              <w:jc w:val="right"/>
              <w:spacing w:lineRule="auto" w:line="240" w:after="0"/>
              <w:widowControl w:val="off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r>
            <w:r/>
          </w:p>
          <w:p>
            <w:pPr>
              <w:pStyle w:val="629"/>
              <w:jc w:val="right"/>
              <w:spacing w:lineRule="auto" w:line="240" w:after="0"/>
              <w:widowControl w:val="off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r>
            <w:r/>
          </w:p>
          <w:p>
            <w:pPr>
              <w:pStyle w:val="629"/>
              <w:jc w:val="right"/>
              <w:spacing w:lineRule="auto" w:line="240" w:after="0"/>
              <w:widowControl w:val="off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r>
            <w:r/>
          </w:p>
          <w:p>
            <w:pPr>
              <w:pStyle w:val="629"/>
              <w:jc w:val="center"/>
              <w:spacing w:lineRule="auto" w:line="240" w:after="0"/>
              <w:widowControl w:val="off"/>
              <w:rPr>
                <w:rFonts w:ascii="Times New Roman" w:hAnsi="Times New Roman" w:eastAsia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sz w:val="28"/>
                <w:szCs w:val="28"/>
                <w:lang w:eastAsia="ru-RU"/>
              </w:rPr>
              <w:t xml:space="preserve">МУНИЦИПАЛЬНАЯ ПРОГРАММА </w:t>
            </w:r>
            <w:r/>
          </w:p>
          <w:p>
            <w:pPr>
              <w:pStyle w:val="629"/>
              <w:jc w:val="center"/>
              <w:spacing w:lineRule="auto" w:line="240" w:after="0"/>
              <w:widowControl w:val="off"/>
              <w:rPr>
                <w:rFonts w:ascii="Times New Roman" w:hAnsi="Times New Roman" w:eastAsia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sz w:val="28"/>
                <w:szCs w:val="28"/>
                <w:lang w:eastAsia="ru-RU"/>
              </w:rPr>
              <w:t xml:space="preserve">«О ГОСУДАРСТВЕННОЙ РЕГИСТРАЦИИ ПРАВ СОБСТВЕННОСТИ</w:t>
            </w:r>
            <w:r/>
          </w:p>
          <w:p>
            <w:pPr>
              <w:pStyle w:val="629"/>
              <w:jc w:val="center"/>
              <w:spacing w:lineRule="auto" w:line="240" w:after="0"/>
              <w:widowControl w:val="off"/>
              <w:rPr>
                <w:rFonts w:ascii="Times New Roman" w:hAnsi="Times New Roman" w:eastAsia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sz w:val="28"/>
                <w:szCs w:val="28"/>
                <w:lang w:eastAsia="ru-RU"/>
              </w:rPr>
              <w:t xml:space="preserve">НА МУНИЦИПАЛЬНОЕ ИМУЩЕСТВО </w:t>
            </w:r>
            <w:r/>
          </w:p>
          <w:p>
            <w:pPr>
              <w:pStyle w:val="629"/>
              <w:jc w:val="center"/>
              <w:spacing w:lineRule="auto" w:line="240" w:after="0"/>
              <w:widowControl w:val="off"/>
              <w:rPr>
                <w:rFonts w:ascii="Times New Roman" w:hAnsi="Times New Roman" w:eastAsia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sz w:val="28"/>
                <w:szCs w:val="28"/>
                <w:lang w:eastAsia="ru-RU"/>
              </w:rPr>
              <w:t xml:space="preserve">АДМИНИСТРАЦИИ СТОЙБИНСКОГО СЕЛЬСОВЕТА</w:t>
            </w:r>
            <w:r/>
          </w:p>
          <w:p>
            <w:pPr>
              <w:pStyle w:val="629"/>
              <w:jc w:val="center"/>
              <w:spacing w:lineRule="auto" w:line="240" w:after="0"/>
              <w:widowControl w:val="off"/>
              <w:rPr>
                <w:rFonts w:ascii="Times New Roman" w:hAnsi="Times New Roman" w:eastAsia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sz w:val="28"/>
                <w:szCs w:val="28"/>
                <w:lang w:eastAsia="ru-RU"/>
              </w:rPr>
              <w:t xml:space="preserve">СЕЛЕМДЖИНСКОГО РАЙОНА</w:t>
            </w:r>
            <w:r/>
          </w:p>
          <w:p>
            <w:pPr>
              <w:pStyle w:val="629"/>
              <w:jc w:val="center"/>
              <w:spacing w:lineRule="auto" w:line="240" w:after="0"/>
              <w:widowControl w:val="off"/>
              <w:rPr>
                <w:rFonts w:ascii="Times New Roman" w:hAnsi="Times New Roman" w:eastAsia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sz w:val="28"/>
                <w:szCs w:val="28"/>
                <w:lang w:eastAsia="ru-RU"/>
              </w:rPr>
              <w:t xml:space="preserve">АМУРСКОЙ ОБЛАСТИ</w:t>
            </w:r>
            <w:r/>
          </w:p>
          <w:p>
            <w:pPr>
              <w:pStyle w:val="629"/>
              <w:ind w:left="0"/>
              <w:jc w:val="center"/>
              <w:spacing w:lineRule="auto" w:line="240" w:after="0"/>
              <w:widowControl w:val="off"/>
              <w:rPr>
                <w:rFonts w:ascii="Times New Roman" w:hAnsi="Times New Roman" w:eastAsia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sz w:val="28"/>
                <w:szCs w:val="28"/>
                <w:lang w:eastAsia="ru-RU"/>
              </w:rPr>
              <w:t xml:space="preserve">НА 2</w:t>
            </w:r>
            <w:r>
              <w:rPr>
                <w:rFonts w:ascii="Times New Roman" w:hAnsi="Times New Roman" w:eastAsia="Times New Roman"/>
                <w:b/>
                <w:sz w:val="28"/>
                <w:szCs w:val="28"/>
                <w:lang w:eastAsia="ru-RU"/>
              </w:rPr>
              <w:t xml:space="preserve">0</w:t>
            </w:r>
            <w:r>
              <w:rPr>
                <w:rFonts w:ascii="Times New Roman" w:hAnsi="Times New Roman" w:eastAsia="Times New Roman"/>
                <w:b/>
                <w:sz w:val="28"/>
                <w:szCs w:val="28"/>
                <w:lang w:eastAsia="ru-RU"/>
              </w:rPr>
              <w:t xml:space="preserve">2</w:t>
            </w:r>
            <w:r>
              <w:rPr>
                <w:rFonts w:ascii="Times New Roman" w:hAnsi="Times New Roman" w:eastAsia="Times New Roman"/>
                <w:b/>
                <w:sz w:val="28"/>
                <w:szCs w:val="28"/>
                <w:lang w:eastAsia="ru-RU"/>
              </w:rPr>
              <w:t xml:space="preserve">4</w:t>
            </w:r>
            <w:r>
              <w:rPr>
                <w:rFonts w:ascii="Times New Roman" w:hAnsi="Times New Roman" w:eastAsia="Times New Roman"/>
                <w:b/>
                <w:sz w:val="28"/>
                <w:szCs w:val="28"/>
                <w:lang w:eastAsia="ru-RU"/>
              </w:rPr>
              <w:t xml:space="preserve"> – 202</w:t>
            </w:r>
            <w:r>
              <w:rPr>
                <w:rFonts w:ascii="Times New Roman" w:hAnsi="Times New Roman" w:eastAsia="Times New Roman"/>
                <w:b/>
                <w:sz w:val="28"/>
                <w:szCs w:val="28"/>
                <w:lang w:eastAsia="ru-RU"/>
              </w:rPr>
              <w:t xml:space="preserve">6</w:t>
            </w:r>
            <w:r>
              <w:rPr>
                <w:rFonts w:ascii="Times New Roman" w:hAnsi="Times New Roman" w:eastAsia="Times New Roman"/>
                <w:b/>
                <w:sz w:val="28"/>
                <w:szCs w:val="28"/>
                <w:lang w:eastAsia="ru-RU"/>
              </w:rPr>
              <w:t xml:space="preserve"> ГОДЫ»</w:t>
            </w:r>
            <w:r/>
          </w:p>
          <w:p>
            <w:pPr>
              <w:pStyle w:val="629"/>
              <w:jc w:val="center"/>
              <w:spacing w:lineRule="auto" w:line="240" w:after="0"/>
              <w:widowControl w:val="off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r>
            <w:r/>
          </w:p>
          <w:p>
            <w:pPr>
              <w:pStyle w:val="629"/>
              <w:jc w:val="center"/>
              <w:spacing w:lineRule="auto" w:line="240" w:after="0"/>
              <w:widowControl w:val="off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r>
            <w:r/>
          </w:p>
          <w:p>
            <w:pPr>
              <w:pStyle w:val="629"/>
              <w:jc w:val="center"/>
              <w:spacing w:lineRule="auto" w:line="240" w:after="0"/>
              <w:widowControl w:val="off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r>
            <w:r/>
          </w:p>
          <w:p>
            <w:pPr>
              <w:pStyle w:val="629"/>
              <w:jc w:val="center"/>
              <w:spacing w:lineRule="auto" w:line="240" w:after="0"/>
              <w:widowControl w:val="off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r>
            <w:r/>
          </w:p>
          <w:p>
            <w:pPr>
              <w:pStyle w:val="629"/>
              <w:jc w:val="center"/>
              <w:spacing w:lineRule="auto" w:line="240" w:after="0"/>
              <w:widowControl w:val="off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r>
            <w:r/>
          </w:p>
          <w:p>
            <w:pPr>
              <w:pStyle w:val="629"/>
              <w:jc w:val="center"/>
              <w:spacing w:lineRule="auto" w:line="240" w:after="0"/>
              <w:widowControl w:val="off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r>
            <w:r/>
          </w:p>
          <w:p>
            <w:pPr>
              <w:pStyle w:val="629"/>
              <w:jc w:val="center"/>
              <w:spacing w:lineRule="auto" w:line="240" w:after="0"/>
              <w:widowControl w:val="off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r>
            <w:r/>
          </w:p>
          <w:p>
            <w:pPr>
              <w:pStyle w:val="629"/>
              <w:jc w:val="center"/>
              <w:spacing w:lineRule="auto" w:line="240" w:after="0"/>
              <w:widowControl w:val="off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r>
            <w:r/>
          </w:p>
          <w:p>
            <w:pPr>
              <w:pStyle w:val="629"/>
              <w:jc w:val="center"/>
              <w:spacing w:lineRule="auto" w:line="240" w:after="0"/>
              <w:widowControl w:val="off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r>
            <w:r/>
          </w:p>
          <w:p>
            <w:pPr>
              <w:pStyle w:val="629"/>
              <w:jc w:val="center"/>
              <w:spacing w:lineRule="auto" w:line="240" w:after="0"/>
              <w:widowControl w:val="off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r>
            <w:r/>
          </w:p>
          <w:p>
            <w:pPr>
              <w:pStyle w:val="629"/>
              <w:jc w:val="center"/>
              <w:spacing w:lineRule="auto" w:line="240" w:after="0"/>
              <w:widowControl w:val="off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r>
            <w:r/>
          </w:p>
          <w:p>
            <w:pPr>
              <w:pStyle w:val="629"/>
              <w:jc w:val="center"/>
              <w:spacing w:lineRule="auto" w:line="240" w:after="0"/>
              <w:widowControl w:val="off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r>
            <w:r/>
          </w:p>
          <w:p>
            <w:pPr>
              <w:pStyle w:val="629"/>
              <w:jc w:val="center"/>
              <w:spacing w:lineRule="auto" w:line="240" w:after="0"/>
              <w:widowControl w:val="off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r>
            <w:r/>
          </w:p>
          <w:p>
            <w:pPr>
              <w:pStyle w:val="629"/>
              <w:jc w:val="center"/>
              <w:spacing w:lineRule="auto" w:line="240" w:after="0"/>
              <w:widowControl w:val="off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r>
            <w:r/>
          </w:p>
          <w:p>
            <w:pPr>
              <w:pStyle w:val="629"/>
              <w:jc w:val="center"/>
              <w:spacing w:lineRule="auto" w:line="240" w:after="0"/>
              <w:widowControl w:val="off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r>
            <w:r/>
          </w:p>
          <w:p>
            <w:pPr>
              <w:pStyle w:val="629"/>
              <w:jc w:val="center"/>
              <w:spacing w:lineRule="auto" w:line="240" w:after="0"/>
              <w:widowControl w:val="off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r>
            <w:r/>
          </w:p>
          <w:p>
            <w:pPr>
              <w:pStyle w:val="629"/>
              <w:jc w:val="center"/>
              <w:spacing w:lineRule="auto" w:line="240" w:after="0"/>
              <w:widowControl w:val="off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r>
            <w:r/>
          </w:p>
          <w:p>
            <w:pPr>
              <w:pStyle w:val="629"/>
              <w:jc w:val="center"/>
              <w:spacing w:lineRule="auto" w:line="240" w:after="0"/>
              <w:widowControl w:val="off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r>
            <w:r/>
          </w:p>
          <w:p>
            <w:pPr>
              <w:pStyle w:val="629"/>
              <w:jc w:val="center"/>
              <w:spacing w:lineRule="auto" w:line="240" w:after="0"/>
              <w:widowControl w:val="off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r>
            <w:r/>
          </w:p>
          <w:p>
            <w:pPr>
              <w:pStyle w:val="629"/>
              <w:jc w:val="center"/>
              <w:spacing w:lineRule="auto" w:line="240" w:after="0"/>
              <w:widowControl w:val="off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r>
            <w:r/>
          </w:p>
          <w:p>
            <w:pPr>
              <w:pStyle w:val="629"/>
              <w:jc w:val="center"/>
              <w:spacing w:lineRule="auto" w:line="240" w:after="0"/>
              <w:widowControl w:val="off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r>
            <w:r/>
          </w:p>
          <w:p>
            <w:pPr>
              <w:pStyle w:val="629"/>
              <w:jc w:val="center"/>
              <w:spacing w:lineRule="auto" w:line="240" w:after="0"/>
              <w:widowControl w:val="off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r>
            <w:r/>
          </w:p>
          <w:p>
            <w:pPr>
              <w:pStyle w:val="629"/>
              <w:jc w:val="center"/>
              <w:spacing w:lineRule="auto" w:line="240" w:after="0"/>
              <w:widowControl w:val="off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r>
            <w:r/>
          </w:p>
          <w:p>
            <w:pPr>
              <w:pStyle w:val="629"/>
              <w:jc w:val="center"/>
              <w:spacing w:lineRule="auto" w:line="240" w:after="0"/>
              <w:widowControl w:val="off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r>
            <w:r/>
          </w:p>
          <w:p>
            <w:pPr>
              <w:pStyle w:val="629"/>
              <w:jc w:val="center"/>
              <w:spacing w:lineRule="auto" w:line="240" w:after="0"/>
              <w:widowControl w:val="off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r>
            <w:r/>
          </w:p>
          <w:p>
            <w:pPr>
              <w:pStyle w:val="629"/>
              <w:jc w:val="center"/>
              <w:spacing w:lineRule="auto" w:line="240" w:after="0"/>
              <w:widowControl w:val="off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r>
            <w:r/>
          </w:p>
          <w:p>
            <w:pPr>
              <w:pStyle w:val="629"/>
              <w:jc w:val="center"/>
              <w:spacing w:lineRule="auto" w:line="240" w:after="0"/>
              <w:widowControl w:val="off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r>
            <w:r/>
          </w:p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eastAsia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sz w:val="28"/>
                <w:szCs w:val="28"/>
                <w:lang w:eastAsia="ru-RU"/>
              </w:rPr>
              <w:t xml:space="preserve">ПАСПОРТ</w:t>
            </w:r>
            <w:r/>
          </w:p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муниципальной программы</w:t>
            </w:r>
            <w:r/>
          </w:p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«О государственной регистрации прав собственности на муниципальное имущество администрации 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Стойбинского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 сельсовета, 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Селемджинского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 района, Амурской области на 202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4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 – 202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6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 годы»</w:t>
            </w:r>
            <w:r/>
          </w:p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r>
            <w:r/>
          </w:p>
          <w:p>
            <w:pPr>
              <w:spacing w:lineRule="auto" w:line="240" w:after="0"/>
              <w:widowControl w:val="off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r>
            <w:r/>
          </w:p>
          <w:p>
            <w:pPr>
              <w:spacing w:lineRule="auto" w:line="240" w:after="0"/>
              <w:widowControl w:val="off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r>
            <w:r/>
          </w:p>
          <w:p>
            <w:pPr>
              <w:ind w:hanging="567"/>
              <w:spacing w:lineRule="auto" w:line="240" w:after="0"/>
              <w:widowControl w:val="off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tcBorders>
              <w:bottom w:val="none" w:color="000000" w:sz="4" w:space="0"/>
            </w:tcBorders>
            <w:tcW w:w="4816" w:type="dxa"/>
            <w:textDirection w:val="lrTb"/>
            <w:noWrap w:val="false"/>
          </w:tcPr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r>
            <w:r/>
          </w:p>
        </w:tc>
      </w:tr>
      <w:tr>
        <w:trPr>
          <w:trHeight w:val="390"/>
        </w:trPr>
        <w:tc>
          <w:tcPr>
            <w:tcBorders>
              <w:top w:val="none" w:color="000000" w:sz="4" w:space="0"/>
              <w:right w:val="single" w:sz="4" w:space="0" w:color="auto"/>
            </w:tcBorders>
            <w:tcW w:w="330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3539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Наименование программы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583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«О государственной регистрации прав собственности на муниципальное имущество администрации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Стойбинского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сельсовета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Селемджинского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района Амурской области</w:t>
            </w:r>
            <w:r/>
          </w:p>
        </w:tc>
        <w:tc>
          <w:tcPr>
            <w:tcBorders>
              <w:left w:val="single" w:sz="4" w:space="0" w:color="auto"/>
              <w:top w:val="none" w:color="000000" w:sz="4" w:space="0"/>
            </w:tcBorders>
            <w:tcW w:w="646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</w:tcBorders>
            <w:tcW w:w="4816" w:type="dxa"/>
            <w:textDirection w:val="lrTb"/>
            <w:noWrap w:val="false"/>
          </w:tcPr>
          <w:p>
            <w:r/>
            <w:r/>
          </w:p>
        </w:tc>
      </w:tr>
      <w:tr>
        <w:trPr>
          <w:trHeight w:val="675"/>
        </w:trPr>
        <w:tc>
          <w:tcPr>
            <w:tcBorders>
              <w:right w:val="single" w:sz="4" w:space="0" w:color="auto"/>
            </w:tcBorders>
            <w:tcW w:w="330" w:type="dxa"/>
            <w:vMerge w:val="restart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sz="4" w:space="0" w:color="auto"/>
              <w:right w:val="single" w:sz="4" w:space="0" w:color="auto"/>
              <w:bottom w:val="single" w:sz="4" w:space="0" w:color="auto"/>
            </w:tcBorders>
            <w:tcW w:w="3539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  <w:bottom w:val="single" w:sz="4" w:space="0" w:color="auto"/>
            </w:tcBorders>
            <w:tcW w:w="5834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sz="4" w:space="0" w:color="auto"/>
            </w:tcBorders>
            <w:tcW w:w="646" w:type="dxa"/>
            <w:vMerge w:val="restart"/>
            <w:textDirection w:val="lrTb"/>
            <w:noWrap w:val="false"/>
          </w:tcPr>
          <w:p>
            <w:r/>
            <w:r/>
          </w:p>
        </w:tc>
        <w:tc>
          <w:tcPr>
            <w:tcW w:w="4816" w:type="dxa"/>
            <w:vMerge w:val="restart"/>
            <w:textDirection w:val="lrTb"/>
            <w:noWrap w:val="false"/>
          </w:tcPr>
          <w:p>
            <w:r/>
            <w:r/>
          </w:p>
        </w:tc>
      </w:tr>
      <w:tr>
        <w:trPr>
          <w:trHeight w:val="1305"/>
        </w:trPr>
        <w:tc>
          <w:tcPr>
            <w:tcBorders>
              <w:right w:val="single" w:sz="4" w:space="0" w:color="auto"/>
            </w:tcBorders>
            <w:tcW w:w="33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53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Основания для разработки программы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834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Федеральный закон № 131-ФЗ от 06 октября 2003 года «Об общих принципах организации местного самоуправления в Российской Федерации».</w:t>
            </w:r>
            <w:r/>
          </w:p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Федеральный закон от 21 июля 1997 г. № 122-ФЗ «О государственной регистрации прав на недвижимое имущество и сделок с ним».</w:t>
            </w:r>
            <w:r/>
          </w:p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Федеральный закон от 25 октября 2001 года № 137-ФЗ «О введении в действие Земельного кодекса Российской Федерации». </w:t>
            </w:r>
            <w:r/>
          </w:p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Ст.179 Бюджетный кодекс Российской Федерации</w:t>
            </w:r>
            <w:r/>
          </w:p>
        </w:tc>
        <w:tc>
          <w:tcPr>
            <w:tcBorders>
              <w:left w:val="single" w:sz="4" w:space="0" w:color="auto"/>
            </w:tcBorders>
            <w:tcW w:w="646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4816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trHeight w:val="1545"/>
        </w:trPr>
        <w:tc>
          <w:tcPr>
            <w:tcBorders>
              <w:right w:val="single" w:sz="4" w:space="0" w:color="auto"/>
            </w:tcBorders>
            <w:tcW w:w="33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539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Заказчик программы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834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Стойбинского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Сельсовета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Селемджинского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района Амурской области </w:t>
            </w:r>
            <w:r/>
          </w:p>
        </w:tc>
        <w:tc>
          <w:tcPr>
            <w:tcBorders>
              <w:left w:val="single" w:sz="4" w:space="0" w:color="auto"/>
            </w:tcBorders>
            <w:tcW w:w="646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4816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trHeight w:val="1410"/>
        </w:trPr>
        <w:tc>
          <w:tcPr>
            <w:tcBorders>
              <w:right w:val="single" w:sz="4" w:space="0" w:color="auto"/>
            </w:tcBorders>
            <w:tcW w:w="33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539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Разработчик программы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834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Специалисты администрации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Стойбинского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сельсовета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Селемджинского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района Амурской области</w:t>
            </w:r>
            <w:r/>
          </w:p>
        </w:tc>
        <w:tc>
          <w:tcPr>
            <w:tcBorders>
              <w:left w:val="single" w:sz="4" w:space="0" w:color="auto"/>
            </w:tcBorders>
            <w:tcW w:w="646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4816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trHeight w:val="1500"/>
        </w:trPr>
        <w:tc>
          <w:tcPr>
            <w:tcBorders>
              <w:right w:val="single" w:sz="4" w:space="0" w:color="auto"/>
            </w:tcBorders>
            <w:tcW w:w="33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539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Цели программы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834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Государственная регистрация п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рава собственности на объекты недвижимого имущества поселения, создание устойчивой для эффективного управления муниципальным имуществом, в целях повышения доходной части бюджета. Эффективное использование земель и градостроительное планирование территории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 целях устойчивого развития территории.</w:t>
            </w:r>
            <w:r/>
          </w:p>
        </w:tc>
        <w:tc>
          <w:tcPr>
            <w:tcBorders>
              <w:left w:val="single" w:sz="4" w:space="0" w:color="auto"/>
            </w:tcBorders>
            <w:tcW w:w="646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4816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trHeight w:val="5910"/>
        </w:trPr>
        <w:tc>
          <w:tcPr>
            <w:tcBorders>
              <w:right w:val="single" w:sz="4" w:space="0" w:color="auto"/>
            </w:tcBorders>
            <w:tcW w:w="33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539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Задачи Программы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834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Основными задачами программы является:</w:t>
            </w:r>
            <w:r/>
          </w:p>
          <w:p>
            <w:pPr>
              <w:pStyle w:val="629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Государственная регистрация права собственности на объекты недвижимого имущества;</w:t>
            </w:r>
            <w:r/>
          </w:p>
          <w:p>
            <w:pPr>
              <w:pStyle w:val="629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Определение рыночной стоимости арендной платы за имущества;</w:t>
            </w:r>
            <w:r/>
          </w:p>
          <w:p>
            <w:pPr>
              <w:pStyle w:val="629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Оформление технической документации (технические паспорта и постановка на кадастровый учет);</w:t>
            </w:r>
            <w:r/>
          </w:p>
          <w:p>
            <w:pPr>
              <w:pStyle w:val="629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Определение рыночной стоимости имущества, подлежащего продаже;</w:t>
            </w:r>
            <w:r/>
          </w:p>
          <w:p>
            <w:pPr>
              <w:pStyle w:val="629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Изменение правил землепользования и застройки территории с учетом перспективного развития территории и действующего законодательства;</w:t>
            </w:r>
            <w:r/>
          </w:p>
          <w:p>
            <w:pPr>
              <w:pStyle w:val="629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Актуализация схем теплоснабжения, водоснабжения и водоотведения.</w:t>
            </w:r>
            <w:r/>
          </w:p>
        </w:tc>
        <w:tc>
          <w:tcPr>
            <w:tcBorders>
              <w:left w:val="single" w:sz="4" w:space="0" w:color="auto"/>
            </w:tcBorders>
            <w:tcW w:w="646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4816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trHeight w:val="1118"/>
        </w:trPr>
        <w:tc>
          <w:tcPr>
            <w:tcBorders>
              <w:right w:val="single" w:sz="4" w:space="0" w:color="auto"/>
            </w:tcBorders>
            <w:tcW w:w="33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53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Сроки и этапы реализации программы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834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Срок реализации программы 202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-202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годы.</w:t>
            </w:r>
            <w:r/>
          </w:p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Этапы не предусмотрены.</w:t>
            </w:r>
            <w:r/>
          </w:p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sz="4" w:space="0" w:color="auto"/>
            </w:tcBorders>
            <w:tcW w:w="646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4816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trHeight w:val="1311"/>
        </w:trPr>
        <w:tc>
          <w:tcPr>
            <w:tcBorders>
              <w:right w:val="single" w:sz="4" w:space="0" w:color="auto"/>
            </w:tcBorders>
            <w:tcW w:w="33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53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Объемы и источники финансирования Программы по годам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8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Программа финансируется за счет средств местного бюджета. Потребность в средствах составляет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850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,00 тыс. рублей</w:t>
            </w:r>
            <w:r/>
          </w:p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,00 тыс. рублей.</w:t>
            </w:r>
            <w:r/>
          </w:p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,00 тыс. рублей</w:t>
            </w:r>
            <w:r/>
          </w:p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,00 тыс. рублей</w:t>
            </w:r>
            <w:r/>
          </w:p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sz="4" w:space="0" w:color="auto"/>
            </w:tcBorders>
            <w:tcW w:w="646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4816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trHeight w:val="1695"/>
        </w:trPr>
        <w:tc>
          <w:tcPr>
            <w:tcBorders>
              <w:right w:val="single" w:sz="4" w:space="0" w:color="auto"/>
            </w:tcBorders>
            <w:tcW w:w="33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53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Ожидаемые конечные результаты реализации программы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834" w:type="dxa"/>
            <w:textDirection w:val="lrTb"/>
            <w:noWrap w:val="false"/>
          </w:tcPr>
          <w:p>
            <w:pPr>
              <w:pStyle w:val="629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Совершенствование учета муниципального имущества;</w:t>
            </w:r>
            <w:r/>
          </w:p>
          <w:p>
            <w:pPr>
              <w:pStyle w:val="629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Эффективное управление и распоряжение объектами муниципальной собственности и земельными участками;</w:t>
            </w:r>
            <w:r/>
          </w:p>
          <w:p>
            <w:pPr>
              <w:pStyle w:val="629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Государственная регистрация права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собственности на все муниципальные объекты недвижимого имущества, в том числе земельные участки;</w:t>
            </w:r>
            <w:r/>
          </w:p>
          <w:p>
            <w:pPr>
              <w:pStyle w:val="629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Увеличения уровня доходов от передачи в аренду муниципального имущества;</w:t>
            </w:r>
            <w:r/>
          </w:p>
          <w:p>
            <w:pPr>
              <w:pStyle w:val="629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Увеличение доходной части бюджета поселения от приватизации и продажи муниципального имущества.</w:t>
            </w:r>
            <w:r/>
          </w:p>
        </w:tc>
        <w:tc>
          <w:tcPr>
            <w:tcBorders>
              <w:left w:val="single" w:sz="4" w:space="0" w:color="auto"/>
            </w:tcBorders>
            <w:tcW w:w="646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4816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gridAfter w:val="2"/>
          <w:gridBefore w:val="1"/>
          <w:trHeight w:val="1260"/>
        </w:trPr>
        <w:tc>
          <w:tcPr>
            <w:tcW w:w="3539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Система организации контроля исполнением Программы</w:t>
            </w:r>
            <w:r/>
          </w:p>
        </w:tc>
        <w:tc>
          <w:tcPr>
            <w:tcW w:w="5834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Контроль за ходом реализации программы осуществляет администрация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Стойбинского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сельсовета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Селемджинского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района Амурской области</w:t>
            </w:r>
            <w:r/>
          </w:p>
        </w:tc>
      </w:tr>
    </w:tbl>
    <w:p>
      <w:r/>
      <w:r/>
    </w:p>
    <w:p>
      <w:pPr>
        <w:pStyle w:val="629"/>
        <w:numPr>
          <w:ilvl w:val="0"/>
          <w:numId w:val="5"/>
        </w:numPr>
        <w:ind w:left="0" w:firstLine="99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Обоснование необходимости разработки Программы</w:t>
      </w:r>
      <w:r/>
    </w:p>
    <w:p>
      <w:pPr>
        <w:pStyle w:val="629"/>
        <w:numPr>
          <w:ilvl w:val="1"/>
          <w:numId w:val="5"/>
        </w:numPr>
        <w:ind w:left="0"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разработана в цел</w:t>
      </w:r>
      <w:r>
        <w:rPr>
          <w:rFonts w:ascii="Times New Roman" w:hAnsi="Times New Roman"/>
          <w:sz w:val="28"/>
          <w:szCs w:val="28"/>
        </w:rPr>
        <w:t xml:space="preserve">ях эффективного управления имуществом (здания, сооружения, земельные участки и другое недвижимое имущество – далее Имущество), для повышения доходной части бюджета поселения и успешного выполнения полномочий поселения по решению вопросов местного значения.</w:t>
      </w:r>
      <w:r/>
    </w:p>
    <w:p>
      <w:pPr>
        <w:pStyle w:val="629"/>
        <w:numPr>
          <w:ilvl w:val="1"/>
          <w:numId w:val="5"/>
        </w:numPr>
        <w:ind w:left="0"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Государственная регистрация права на недвижимое имущество села Стойба является залог эффективного управления имуществом.</w:t>
      </w:r>
      <w:r/>
    </w:p>
    <w:p>
      <w:pPr>
        <w:pStyle w:val="629"/>
        <w:numPr>
          <w:ilvl w:val="1"/>
          <w:numId w:val="5"/>
        </w:numPr>
        <w:ind w:left="0"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Основной </w:t>
      </w:r>
      <w:r>
        <w:rPr>
          <w:rFonts w:ascii="Times New Roman" w:hAnsi="Times New Roman"/>
          <w:sz w:val="28"/>
          <w:szCs w:val="28"/>
        </w:rPr>
        <w:t xml:space="preserve">проблемой является то, что имущество, переданное из муниципального образования Селемджинского района в собственность поселения, не стоит на кадастровом учете, на него отсутствует какая-либо техническая документация. Постановка на кадастровый учет объектов </w:t>
      </w:r>
      <w:r>
        <w:rPr>
          <w:rFonts w:ascii="Times New Roman" w:hAnsi="Times New Roman"/>
          <w:sz w:val="28"/>
          <w:szCs w:val="28"/>
        </w:rPr>
        <w:t xml:space="preserve">недвижимости является обязательным требованием для государственной регистрации права собственности.</w:t>
      </w:r>
      <w:r/>
    </w:p>
    <w:p>
      <w:pPr>
        <w:pStyle w:val="629"/>
        <w:numPr>
          <w:ilvl w:val="1"/>
          <w:numId w:val="5"/>
        </w:numPr>
        <w:ind w:left="0"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Согласно пункта 7 статьи 3 Федерального закона от 25 октября 2001 года № 137-ФЗ «О введении в действие Земельного кодекса Российск</w:t>
      </w:r>
      <w:r>
        <w:rPr>
          <w:rFonts w:ascii="Times New Roman" w:hAnsi="Times New Roman"/>
          <w:sz w:val="28"/>
          <w:szCs w:val="28"/>
        </w:rPr>
        <w:t xml:space="preserve">ой Федерации» приватизация зданий, строений, сооружений без одновременной приватизации земельных участков не допускается, вследствие чего возникает необходимость проведения работ по формированию земельных участков для приватизации муниципального имущества.</w:t>
      </w:r>
      <w:r/>
    </w:p>
    <w:p>
      <w:pPr>
        <w:pStyle w:val="629"/>
        <w:numPr>
          <w:ilvl w:val="1"/>
          <w:numId w:val="5"/>
        </w:numPr>
        <w:ind w:left="0"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целей регистрации права муниципальной собственности администрации </w:t>
      </w:r>
      <w:r>
        <w:rPr>
          <w:rFonts w:ascii="Times New Roman" w:hAnsi="Times New Roman"/>
          <w:sz w:val="28"/>
          <w:szCs w:val="28"/>
        </w:rPr>
        <w:t xml:space="preserve">Стойбинского</w:t>
      </w:r>
      <w:r>
        <w:rPr>
          <w:rFonts w:ascii="Times New Roman" w:hAnsi="Times New Roman"/>
          <w:sz w:val="28"/>
          <w:szCs w:val="28"/>
        </w:rPr>
        <w:t xml:space="preserve"> сельсовета на земельные участки необходимо провести кадас</w:t>
      </w:r>
      <w:r>
        <w:rPr>
          <w:rFonts w:ascii="Times New Roman" w:hAnsi="Times New Roman"/>
          <w:sz w:val="28"/>
          <w:szCs w:val="28"/>
        </w:rPr>
        <w:t xml:space="preserve">тровые работы по земельным участкам и объектами недвижимого имущества муниципальной собственности, которые в соответствии с п.3 ст.3.1 ФЗ от 25.10.2001 года № 137-ФЗ «О введении в действие Земельного кодекса Российской Федерации» относятся к собственности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 xml:space="preserve">Стойбинского</w:t>
      </w:r>
      <w:r>
        <w:rPr>
          <w:rFonts w:ascii="Times New Roman" w:hAnsi="Times New Roman"/>
          <w:sz w:val="28"/>
          <w:szCs w:val="28"/>
        </w:rPr>
        <w:t xml:space="preserve"> сельсовета.</w:t>
      </w:r>
      <w:r/>
    </w:p>
    <w:p>
      <w:pPr>
        <w:pStyle w:val="629"/>
        <w:numPr>
          <w:ilvl w:val="1"/>
          <w:numId w:val="5"/>
        </w:numPr>
        <w:ind w:left="0"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государственной регистрации права муниципальной собственности на объекты недвижимости требуется проведение технической </w:t>
      </w:r>
      <w:r>
        <w:rPr>
          <w:rFonts w:ascii="Times New Roman" w:hAnsi="Times New Roman"/>
          <w:sz w:val="28"/>
          <w:szCs w:val="28"/>
        </w:rPr>
        <w:t xml:space="preserve">инвентаризации с целью уточнения их технических характеристик, постановки на кадастровый учет, изготовление технических планов и кадастровых паспортов.</w:t>
      </w:r>
      <w:r/>
    </w:p>
    <w:p>
      <w:pPr>
        <w:pStyle w:val="629"/>
        <w:numPr>
          <w:ilvl w:val="1"/>
          <w:numId w:val="5"/>
        </w:numPr>
        <w:ind w:left="0"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Необходимость решения данных вопросов в рамках Программы обусловлена их комплексностью и взаимосвязанностью, что требует скоординированного выполнения разнородных мероприятий правового, организационного, производственного и технологического характера.</w:t>
      </w:r>
      <w:r/>
    </w:p>
    <w:p>
      <w:pPr>
        <w:pStyle w:val="629"/>
        <w:ind w:left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629"/>
        <w:numPr>
          <w:ilvl w:val="0"/>
          <w:numId w:val="5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Цели, задачи, сроки и этапы реализации Программы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</w:t>
      </w:r>
      <w:r>
        <w:rPr>
          <w:rFonts w:ascii="Times New Roman" w:hAnsi="Times New Roman"/>
          <w:sz w:val="28"/>
          <w:szCs w:val="28"/>
        </w:rPr>
        <w:t xml:space="preserve">.</w:t>
      </w:r>
      <w:r>
        <w:rPr>
          <w:rFonts w:ascii="Times New Roman" w:hAnsi="Times New Roman"/>
          <w:sz w:val="28"/>
          <w:szCs w:val="28"/>
        </w:rPr>
        <w:t xml:space="preserve"> Основной целью Программы является Государственная регистрация права собственности на объекты недвижимого имущества поселения, создание условий для эффективного управления имуществом в целях повышения доходной части бюджета. 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2.2. </w:t>
      </w:r>
      <w:r>
        <w:rPr>
          <w:rFonts w:ascii="Times New Roman" w:hAnsi="Times New Roman"/>
          <w:sz w:val="28"/>
          <w:szCs w:val="28"/>
        </w:rPr>
        <w:t xml:space="preserve">Основные задачи Программы: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2.2.1. Государственная регистрация права собственности на муниципальные объекты недвижимого имущества.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2.2.2. Определение рыночной стоимости имущества (оценка муниципального имущества).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2.2.3. определение рыночной стоимости годовой платы за аренду муниципального имущества.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2.2.4. Оформление технической документации (технические паспорта и постановка на кадастровый учет).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Имущество, в отношении которого необходимо проведение мероприятий для достижения основных целей и задач Программы: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</w:t>
      </w:r>
      <w:r>
        <w:rPr>
          <w:rFonts w:ascii="Times New Roman" w:hAnsi="Times New Roman"/>
          <w:sz w:val="28"/>
          <w:szCs w:val="28"/>
        </w:rPr>
        <w:t xml:space="preserve">1</w:t>
      </w:r>
      <w:r>
        <w:rPr>
          <w:rFonts w:ascii="Times New Roman" w:hAnsi="Times New Roman"/>
          <w:sz w:val="28"/>
          <w:szCs w:val="28"/>
        </w:rPr>
        <w:t xml:space="preserve">. Объекты благоустройства.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</w:t>
      </w:r>
      <w:r>
        <w:rPr>
          <w:rFonts w:ascii="Times New Roman" w:hAnsi="Times New Roman"/>
          <w:sz w:val="28"/>
          <w:szCs w:val="28"/>
        </w:rPr>
        <w:t xml:space="preserve">2</w:t>
      </w:r>
      <w:r>
        <w:rPr>
          <w:rFonts w:ascii="Times New Roman" w:hAnsi="Times New Roman"/>
          <w:sz w:val="28"/>
          <w:szCs w:val="28"/>
        </w:rPr>
        <w:t xml:space="preserve">. Спортивные сооружения.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</w:t>
      </w:r>
      <w:r>
        <w:rPr>
          <w:rFonts w:ascii="Times New Roman" w:hAnsi="Times New Roman"/>
          <w:sz w:val="28"/>
          <w:szCs w:val="28"/>
        </w:rPr>
        <w:t xml:space="preserve">3</w:t>
      </w:r>
      <w:r>
        <w:rPr>
          <w:rFonts w:ascii="Times New Roman" w:hAnsi="Times New Roman"/>
          <w:sz w:val="28"/>
          <w:szCs w:val="28"/>
        </w:rPr>
        <w:t xml:space="preserve">. Земельные участки.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</w:t>
      </w:r>
      <w:r>
        <w:rPr>
          <w:rFonts w:ascii="Times New Roman" w:hAnsi="Times New Roman"/>
          <w:sz w:val="28"/>
          <w:szCs w:val="28"/>
        </w:rPr>
        <w:t xml:space="preserve">4</w:t>
      </w:r>
      <w:r>
        <w:rPr>
          <w:rFonts w:ascii="Times New Roman" w:hAnsi="Times New Roman"/>
          <w:sz w:val="28"/>
          <w:szCs w:val="28"/>
        </w:rPr>
        <w:t xml:space="preserve">. Жилые и нежилые помещения.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</w:t>
      </w:r>
      <w:r>
        <w:rPr>
          <w:rFonts w:ascii="Times New Roman" w:hAnsi="Times New Roman"/>
          <w:sz w:val="28"/>
          <w:szCs w:val="28"/>
        </w:rPr>
        <w:t xml:space="preserve">5</w:t>
      </w:r>
      <w:r>
        <w:rPr>
          <w:rFonts w:ascii="Times New Roman" w:hAnsi="Times New Roman"/>
          <w:sz w:val="28"/>
          <w:szCs w:val="28"/>
        </w:rPr>
        <w:t xml:space="preserve">. Иное недвижимое имущество.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 Сроки реализации Программы. Программа будет выполняться в течение 202</w:t>
      </w:r>
      <w:r>
        <w:rPr>
          <w:rFonts w:ascii="Times New Roman" w:hAnsi="Times New Roman"/>
          <w:sz w:val="28"/>
          <w:szCs w:val="28"/>
        </w:rPr>
        <w:t xml:space="preserve">4</w:t>
      </w:r>
      <w:r>
        <w:rPr>
          <w:rFonts w:ascii="Times New Roman" w:hAnsi="Times New Roman"/>
          <w:sz w:val="28"/>
          <w:szCs w:val="28"/>
        </w:rPr>
        <w:t xml:space="preserve"> – 202</w:t>
      </w:r>
      <w:r>
        <w:rPr>
          <w:rFonts w:ascii="Times New Roman" w:hAnsi="Times New Roman"/>
          <w:sz w:val="28"/>
          <w:szCs w:val="28"/>
        </w:rPr>
        <w:t xml:space="preserve">6</w:t>
      </w:r>
      <w:r>
        <w:rPr>
          <w:rFonts w:ascii="Times New Roman" w:hAnsi="Times New Roman"/>
          <w:sz w:val="28"/>
          <w:szCs w:val="28"/>
        </w:rPr>
        <w:t xml:space="preserve"> годов.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2.5. Система целевых показателей изложена в приложении № 1 настоящей Программы. </w:t>
      </w:r>
      <w:r/>
    </w:p>
    <w:p>
      <w:pPr>
        <w:pStyle w:val="629"/>
        <w:numPr>
          <w:ilvl w:val="0"/>
          <w:numId w:val="5"/>
        </w:num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Система программных мероприятий </w:t>
      </w:r>
      <w:r/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Система программных мероприятий и ожидаемых результатов </w:t>
      </w:r>
      <w:r>
        <w:rPr>
          <w:rFonts w:ascii="Times New Roman" w:hAnsi="Times New Roman"/>
          <w:sz w:val="28"/>
          <w:szCs w:val="28"/>
        </w:rPr>
        <w:t xml:space="preserve">изложены в приложении № 2 </w:t>
      </w:r>
      <w:r>
        <w:rPr>
          <w:rFonts w:ascii="Times New Roman" w:hAnsi="Times New Roman"/>
          <w:sz w:val="28"/>
          <w:szCs w:val="28"/>
        </w:rPr>
        <w:t xml:space="preserve">настоящей Программы</w:t>
      </w:r>
      <w:r>
        <w:rPr>
          <w:rFonts w:ascii="Times New Roman" w:hAnsi="Times New Roman"/>
          <w:sz w:val="28"/>
          <w:szCs w:val="28"/>
        </w:rPr>
        <w:t xml:space="preserve">.</w:t>
      </w:r>
      <w:r/>
    </w:p>
    <w:p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629"/>
        <w:numPr>
          <w:ilvl w:val="0"/>
          <w:numId w:val="5"/>
        </w:num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Финансовое обеспечение Программы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 Финансирование мероприятий Программы осуществляется за счет средств местного бюджета.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 Общий объем финансирования Программы в 202</w:t>
      </w:r>
      <w:r>
        <w:rPr>
          <w:rFonts w:ascii="Times New Roman" w:hAnsi="Times New Roman"/>
          <w:sz w:val="28"/>
          <w:szCs w:val="28"/>
        </w:rPr>
        <w:t xml:space="preserve">4</w:t>
      </w:r>
      <w:r>
        <w:rPr>
          <w:rFonts w:ascii="Times New Roman" w:hAnsi="Times New Roman"/>
          <w:sz w:val="28"/>
          <w:szCs w:val="28"/>
        </w:rPr>
        <w:t xml:space="preserve"> – 202</w:t>
      </w:r>
      <w:r>
        <w:rPr>
          <w:rFonts w:ascii="Times New Roman" w:hAnsi="Times New Roman"/>
          <w:sz w:val="28"/>
          <w:szCs w:val="28"/>
        </w:rPr>
        <w:t xml:space="preserve">6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годах составляет</w:t>
      </w:r>
      <w:r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 xml:space="preserve">1</w:t>
      </w:r>
      <w:r>
        <w:rPr>
          <w:rFonts w:ascii="Times New Roman" w:hAnsi="Times New Roman"/>
          <w:sz w:val="28"/>
          <w:szCs w:val="28"/>
        </w:rPr>
        <w:t xml:space="preserve"> 85</w:t>
      </w:r>
      <w:r>
        <w:rPr>
          <w:rFonts w:ascii="Times New Roman" w:hAnsi="Times New Roman"/>
          <w:sz w:val="28"/>
          <w:szCs w:val="28"/>
        </w:rPr>
        <w:t xml:space="preserve">0</w:t>
      </w:r>
      <w:r>
        <w:rPr>
          <w:rFonts w:ascii="Times New Roman" w:hAnsi="Times New Roman"/>
          <w:sz w:val="28"/>
          <w:szCs w:val="28"/>
        </w:rPr>
        <w:t xml:space="preserve">,00 тыс. рублей, в том числе по годам: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202</w:t>
      </w:r>
      <w:r>
        <w:rPr>
          <w:rFonts w:ascii="Times New Roman" w:hAnsi="Times New Roman"/>
          <w:sz w:val="28"/>
          <w:szCs w:val="28"/>
        </w:rPr>
        <w:t xml:space="preserve">4</w:t>
      </w:r>
      <w:r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 xml:space="preserve">6</w:t>
      </w:r>
      <w:r>
        <w:rPr>
          <w:rFonts w:ascii="Times New Roman" w:hAnsi="Times New Roman"/>
          <w:sz w:val="28"/>
          <w:szCs w:val="28"/>
        </w:rPr>
        <w:t xml:space="preserve">50</w:t>
      </w:r>
      <w:r>
        <w:rPr>
          <w:rFonts w:ascii="Times New Roman" w:hAnsi="Times New Roman"/>
          <w:sz w:val="28"/>
          <w:szCs w:val="28"/>
        </w:rPr>
        <w:t xml:space="preserve">,00 тыс. рублей,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202</w:t>
      </w:r>
      <w:r>
        <w:rPr>
          <w:rFonts w:ascii="Times New Roman" w:hAnsi="Times New Roman"/>
          <w:sz w:val="28"/>
          <w:szCs w:val="28"/>
        </w:rPr>
        <w:t xml:space="preserve">5</w:t>
      </w:r>
      <w:r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 xml:space="preserve">6</w:t>
      </w:r>
      <w:r>
        <w:rPr>
          <w:rFonts w:ascii="Times New Roman" w:hAnsi="Times New Roman"/>
          <w:sz w:val="28"/>
          <w:szCs w:val="28"/>
        </w:rPr>
        <w:t xml:space="preserve">00</w:t>
      </w:r>
      <w:r>
        <w:rPr>
          <w:rFonts w:ascii="Times New Roman" w:hAnsi="Times New Roman"/>
          <w:sz w:val="28"/>
          <w:szCs w:val="28"/>
        </w:rPr>
        <w:t xml:space="preserve">,00 тыс. рублей,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202</w:t>
      </w:r>
      <w:r>
        <w:rPr>
          <w:rFonts w:ascii="Times New Roman" w:hAnsi="Times New Roman"/>
          <w:sz w:val="28"/>
          <w:szCs w:val="28"/>
        </w:rPr>
        <w:t xml:space="preserve">6</w:t>
      </w:r>
      <w:r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 xml:space="preserve">6</w:t>
      </w:r>
      <w:r>
        <w:rPr>
          <w:rFonts w:ascii="Times New Roman" w:hAnsi="Times New Roman"/>
          <w:sz w:val="28"/>
          <w:szCs w:val="28"/>
        </w:rPr>
        <w:t xml:space="preserve">00</w:t>
      </w:r>
      <w:r>
        <w:rPr>
          <w:rFonts w:ascii="Times New Roman" w:hAnsi="Times New Roman"/>
          <w:sz w:val="28"/>
          <w:szCs w:val="28"/>
        </w:rPr>
        <w:t xml:space="preserve">,00 тыс. рублей.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4.3. Бюджетные ассигнования, предусмотренные в плановом периоде 202</w:t>
      </w:r>
      <w:r>
        <w:rPr>
          <w:rFonts w:ascii="Times New Roman" w:hAnsi="Times New Roman"/>
          <w:sz w:val="28"/>
          <w:szCs w:val="28"/>
        </w:rPr>
        <w:t xml:space="preserve">4</w:t>
      </w:r>
      <w:r>
        <w:rPr>
          <w:rFonts w:ascii="Times New Roman" w:hAnsi="Times New Roman"/>
          <w:sz w:val="28"/>
          <w:szCs w:val="28"/>
        </w:rPr>
        <w:t xml:space="preserve"> – 202</w:t>
      </w:r>
      <w:r>
        <w:rPr>
          <w:rFonts w:ascii="Times New Roman" w:hAnsi="Times New Roman"/>
          <w:sz w:val="28"/>
          <w:szCs w:val="28"/>
        </w:rPr>
        <w:t xml:space="preserve">6</w:t>
      </w:r>
      <w:r>
        <w:rPr>
          <w:rFonts w:ascii="Times New Roman" w:hAnsi="Times New Roman"/>
          <w:sz w:val="28"/>
          <w:szCs w:val="28"/>
        </w:rPr>
        <w:t xml:space="preserve"> годах, могут быть уточнены при формировании проектов бюджета администрации </w:t>
      </w:r>
      <w:r>
        <w:rPr>
          <w:rFonts w:ascii="Times New Roman" w:hAnsi="Times New Roman"/>
          <w:sz w:val="28"/>
          <w:szCs w:val="28"/>
        </w:rPr>
        <w:t xml:space="preserve">Стойбинского</w:t>
      </w:r>
      <w:r>
        <w:rPr>
          <w:rFonts w:ascii="Times New Roman" w:hAnsi="Times New Roman"/>
          <w:sz w:val="28"/>
          <w:szCs w:val="28"/>
        </w:rPr>
        <w:t xml:space="preserve"> сельсовета на 202</w:t>
      </w:r>
      <w:r>
        <w:rPr>
          <w:rFonts w:ascii="Times New Roman" w:hAnsi="Times New Roman"/>
          <w:sz w:val="28"/>
          <w:szCs w:val="28"/>
        </w:rPr>
        <w:t xml:space="preserve">5</w:t>
      </w:r>
      <w:r>
        <w:rPr>
          <w:rFonts w:ascii="Times New Roman" w:hAnsi="Times New Roman"/>
          <w:sz w:val="28"/>
          <w:szCs w:val="28"/>
        </w:rPr>
        <w:t xml:space="preserve">, 202</w:t>
      </w:r>
      <w:r>
        <w:rPr>
          <w:rFonts w:ascii="Times New Roman" w:hAnsi="Times New Roman"/>
          <w:sz w:val="28"/>
          <w:szCs w:val="28"/>
        </w:rPr>
        <w:t xml:space="preserve">6</w:t>
      </w:r>
      <w:r>
        <w:rPr>
          <w:rFonts w:ascii="Times New Roman" w:hAnsi="Times New Roman"/>
          <w:sz w:val="28"/>
          <w:szCs w:val="28"/>
        </w:rPr>
        <w:t xml:space="preserve"> годы.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Механизм реализации Программы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</w:t>
      </w:r>
      <w:r>
        <w:rPr>
          <w:rFonts w:ascii="Times New Roman" w:hAnsi="Times New Roman"/>
          <w:sz w:val="28"/>
          <w:szCs w:val="28"/>
        </w:rPr>
        <w:t xml:space="preserve"> Реализация мероприятий Программы осуществляется на основе: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5.1.1. Муниципальных контрактов, заключаемых в соответствии с Федеральным законом от 5 апреля 2013 года № 44 – ФЗ «О контрактной системе в сфере </w:t>
      </w:r>
      <w:r>
        <w:rPr>
          <w:rFonts w:ascii="Times New Roman" w:hAnsi="Times New Roman"/>
          <w:sz w:val="28"/>
          <w:szCs w:val="28"/>
        </w:rPr>
        <w:t xml:space="preserve">закупок товаров</w:t>
      </w:r>
      <w:r>
        <w:rPr>
          <w:rFonts w:ascii="Times New Roman" w:hAnsi="Times New Roman"/>
          <w:sz w:val="28"/>
          <w:szCs w:val="28"/>
        </w:rPr>
        <w:t xml:space="preserve">, работ, услуг для обеспечения государственных и муниципальных нужд».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5.1.2. Условий, порядков и правил, </w:t>
      </w:r>
      <w:r>
        <w:rPr>
          <w:rFonts w:ascii="Times New Roman" w:hAnsi="Times New Roman"/>
          <w:sz w:val="28"/>
          <w:szCs w:val="28"/>
        </w:rPr>
        <w:t xml:space="preserve">утвержденных Федеральными</w:t>
      </w:r>
      <w:r>
        <w:rPr>
          <w:rFonts w:ascii="Times New Roman" w:hAnsi="Times New Roman"/>
          <w:sz w:val="28"/>
          <w:szCs w:val="28"/>
        </w:rPr>
        <w:t xml:space="preserve"> и муниципальными нормативными правовыми актами.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5.1.3. Договоров, соглашений, заключаемых муниципальными заказчиками (заказчиками – координаторами) Программы с исполнителями программных мероприятий.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  Администрация </w:t>
      </w:r>
      <w:r>
        <w:rPr>
          <w:rFonts w:ascii="Times New Roman" w:hAnsi="Times New Roman"/>
          <w:sz w:val="28"/>
          <w:szCs w:val="28"/>
        </w:rPr>
        <w:t xml:space="preserve">Стойбинского</w:t>
      </w:r>
      <w:r>
        <w:rPr>
          <w:rFonts w:ascii="Times New Roman" w:hAnsi="Times New Roman"/>
          <w:sz w:val="28"/>
          <w:szCs w:val="28"/>
        </w:rPr>
        <w:t xml:space="preserve"> сельсовета с учетом выделенных на реализацию Программы финансовых средств, проводит анализ затрат по программным</w:t>
      </w:r>
      <w:r>
        <w:rPr>
          <w:rFonts w:ascii="Times New Roman" w:hAnsi="Times New Roman"/>
          <w:sz w:val="28"/>
          <w:szCs w:val="28"/>
        </w:rPr>
        <w:t xml:space="preserve"> мероприятиям, оценку механизма ее реализацию и состав ответственных исполнителей. Исполнитель представляет в установленном порядке отчеты о реализации Программы, в случае необходимости, вносит в установленном порядке предложения о корректировке Программы.</w:t>
      </w:r>
      <w:r/>
    </w:p>
    <w:p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Оценка эффективности Программы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6.1. Оценка эффективности реализации муниципальной программы осуществляется заказчиком – координатором муниципальной программы – администрацией </w:t>
      </w:r>
      <w:r>
        <w:rPr>
          <w:rFonts w:ascii="Times New Roman" w:hAnsi="Times New Roman"/>
          <w:sz w:val="28"/>
          <w:szCs w:val="28"/>
        </w:rPr>
        <w:t xml:space="preserve">Стойбинского</w:t>
      </w:r>
      <w:r>
        <w:rPr>
          <w:rFonts w:ascii="Times New Roman" w:hAnsi="Times New Roman"/>
          <w:sz w:val="28"/>
          <w:szCs w:val="28"/>
        </w:rPr>
        <w:t xml:space="preserve"> сельсовета ежегодно в течение всего срока ее реализации.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6.2. Показателями </w:t>
      </w:r>
      <w:r>
        <w:rPr>
          <w:rFonts w:ascii="Times New Roman" w:hAnsi="Times New Roman"/>
          <w:sz w:val="28"/>
          <w:szCs w:val="28"/>
        </w:rPr>
        <w:t xml:space="preserve">результативности Программы</w:t>
      </w:r>
      <w:r>
        <w:rPr>
          <w:rFonts w:ascii="Times New Roman" w:hAnsi="Times New Roman"/>
          <w:sz w:val="28"/>
          <w:szCs w:val="28"/>
        </w:rPr>
        <w:t xml:space="preserve"> являются: 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6.2.1. Увеличение доли муниципальных объектов недвижимости, на которых завершена государственная регистрация права собственности.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6.2.2. Увеличение количества сформированных и поставленных на кадастровый учет земельных участков.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6.3. Общий эффект от реализации Программы будет достигнут за счет государственной регистрации прав собственности на муниципальное имущество администрации </w:t>
      </w:r>
      <w:r>
        <w:rPr>
          <w:rFonts w:ascii="Times New Roman" w:hAnsi="Times New Roman"/>
          <w:sz w:val="28"/>
          <w:szCs w:val="28"/>
        </w:rPr>
        <w:t xml:space="preserve">Стойбинского</w:t>
      </w:r>
      <w:r>
        <w:rPr>
          <w:rFonts w:ascii="Times New Roman" w:hAnsi="Times New Roman"/>
          <w:sz w:val="28"/>
          <w:szCs w:val="28"/>
        </w:rPr>
        <w:t xml:space="preserve"> сельсовета.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6.4. Оценка эффективности реализации муниципальной </w:t>
      </w:r>
      <w:r>
        <w:rPr>
          <w:rFonts w:ascii="Times New Roman" w:hAnsi="Times New Roman"/>
          <w:sz w:val="28"/>
          <w:szCs w:val="28"/>
        </w:rPr>
        <w:t xml:space="preserve">программы производится</w:t>
      </w:r>
      <w:r>
        <w:rPr>
          <w:rFonts w:ascii="Times New Roman" w:hAnsi="Times New Roman"/>
          <w:sz w:val="28"/>
          <w:szCs w:val="28"/>
        </w:rPr>
        <w:t xml:space="preserve"> путем сопоставления фактически достигнутых показателей с целевыми – плановыми показателями.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6.5. Эффективность реализации Программы оценивается как соотношение фактически достигнутых результатов к </w:t>
      </w:r>
      <w:r>
        <w:rPr>
          <w:rFonts w:ascii="Times New Roman" w:hAnsi="Times New Roman"/>
          <w:sz w:val="28"/>
          <w:szCs w:val="28"/>
        </w:rPr>
        <w:t xml:space="preserve">целевым -</w:t>
      </w:r>
      <w:r>
        <w:rPr>
          <w:rFonts w:ascii="Times New Roman" w:hAnsi="Times New Roman"/>
          <w:sz w:val="28"/>
          <w:szCs w:val="28"/>
        </w:rPr>
        <w:t xml:space="preserve"> плановым показателям, утвержденным программой, по следующей формуле: 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Есоц</w:t>
      </w:r>
      <w:r>
        <w:rPr>
          <w:rFonts w:ascii="Times New Roman" w:hAnsi="Times New Roman"/>
          <w:sz w:val="28"/>
          <w:szCs w:val="28"/>
        </w:rPr>
        <w:t xml:space="preserve"> =</w:t>
      </w:r>
      <w:r>
        <w:rPr>
          <w:rFonts w:ascii="Times New Roman" w:hAnsi="Times New Roman"/>
          <w:sz w:val="28"/>
          <w:szCs w:val="28"/>
          <w:lang w:val="en-US"/>
        </w:rPr>
        <w:t xml:space="preserve">Pf</w:t>
      </w:r>
      <w:r>
        <w:rPr>
          <w:rFonts w:ascii="Times New Roman" w:hAnsi="Times New Roman"/>
          <w:sz w:val="28"/>
          <w:szCs w:val="28"/>
        </w:rPr>
        <w:t xml:space="preserve">/</w:t>
      </w:r>
      <w:r>
        <w:rPr>
          <w:rFonts w:ascii="Times New Roman" w:hAnsi="Times New Roman"/>
          <w:sz w:val="28"/>
          <w:szCs w:val="28"/>
          <w:lang w:val="en-US"/>
        </w:rPr>
        <w:t xml:space="preserve">Pp</w:t>
      </w:r>
      <w:r>
        <w:rPr>
          <w:rFonts w:ascii="Times New Roman" w:hAnsi="Times New Roman"/>
          <w:sz w:val="28"/>
          <w:szCs w:val="28"/>
        </w:rPr>
        <w:t xml:space="preserve">*100%, где: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Есоц</w:t>
      </w:r>
      <w:r>
        <w:rPr>
          <w:rFonts w:ascii="Times New Roman" w:hAnsi="Times New Roman"/>
          <w:sz w:val="28"/>
          <w:szCs w:val="28"/>
        </w:rPr>
        <w:t xml:space="preserve"> – эффективность реализации Программы;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Pf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фактический показатель, достигнутый в ходе реализации муниципальной программы;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Pp</w:t>
      </w:r>
      <w:r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 xml:space="preserve">целевой – плановый показатель, утвержденный Программой.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</w:t>
      </w:r>
      <w:r>
        <w:rPr>
          <w:rFonts w:ascii="Times New Roman" w:hAnsi="Times New Roman"/>
          <w:sz w:val="28"/>
          <w:szCs w:val="28"/>
        </w:rPr>
        <w:t xml:space="preserve">6.</w:t>
      </w:r>
      <w:r>
        <w:rPr>
          <w:rFonts w:ascii="Times New Roman" w:hAnsi="Times New Roman"/>
          <w:sz w:val="28"/>
          <w:szCs w:val="28"/>
        </w:rPr>
        <w:t xml:space="preserve"> При</w:t>
      </w:r>
      <w:r>
        <w:rPr>
          <w:rFonts w:ascii="Times New Roman" w:hAnsi="Times New Roman"/>
          <w:sz w:val="28"/>
          <w:szCs w:val="28"/>
        </w:rPr>
        <w:t xml:space="preserve"> достижении показателем уровня, равного 100% и более от установленного значения, эффективность реализации муниципальной программы признается высокой, от 80% до 100% - средней, при значении менее 80% - низкой.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jc w:val="right"/>
        <w:spacing w:lineRule="atLeast" w:lin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jc w:val="right"/>
        <w:spacing w:lineRule="atLeast" w:lin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jc w:val="right"/>
        <w:spacing w:lineRule="atLeast" w:lin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jc w:val="right"/>
        <w:spacing w:lineRule="atLeast" w:lin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jc w:val="right"/>
        <w:spacing w:lineRule="atLeast" w:lin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jc w:val="right"/>
        <w:spacing w:lineRule="atLeast" w:lin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jc w:val="right"/>
        <w:spacing w:lineRule="atLeast" w:lin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jc w:val="right"/>
        <w:spacing w:lineRule="atLeast" w:lin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jc w:val="right"/>
        <w:spacing w:lineRule="atLeast" w:lin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№ 1</w:t>
      </w:r>
      <w:r/>
    </w:p>
    <w:p>
      <w:pPr>
        <w:jc w:val="right"/>
        <w:spacing w:lineRule="atLeast" w:lin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 xml:space="preserve">муниципальной программы </w:t>
      </w:r>
      <w:r/>
    </w:p>
    <w:p>
      <w:pPr>
        <w:jc w:val="right"/>
        <w:spacing w:lineRule="atLeast" w:lin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«О государственной регистрации прав</w:t>
      </w:r>
      <w:r/>
    </w:p>
    <w:p>
      <w:pPr>
        <w:jc w:val="right"/>
        <w:spacing w:lineRule="atLeast" w:lin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Собственности на муниципальное </w:t>
      </w:r>
      <w:r/>
    </w:p>
    <w:p>
      <w:pPr>
        <w:jc w:val="right"/>
        <w:spacing w:lineRule="atLeast" w:lin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Имущество администрации </w:t>
      </w:r>
      <w:r>
        <w:rPr>
          <w:rFonts w:ascii="Times New Roman" w:hAnsi="Times New Roman"/>
          <w:sz w:val="24"/>
          <w:szCs w:val="24"/>
        </w:rPr>
        <w:t xml:space="preserve">Стойбинского</w:t>
      </w:r>
      <w:r>
        <w:rPr>
          <w:rFonts w:ascii="Times New Roman" w:hAnsi="Times New Roman"/>
          <w:sz w:val="24"/>
          <w:szCs w:val="24"/>
        </w:rPr>
        <w:t xml:space="preserve"> </w:t>
      </w:r>
      <w:r/>
    </w:p>
    <w:p>
      <w:pPr>
        <w:jc w:val="right"/>
        <w:spacing w:lineRule="atLeast" w:lin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Сельсовета, Селемджинского района,</w:t>
      </w:r>
      <w:r/>
    </w:p>
    <w:p>
      <w:pPr>
        <w:jc w:val="right"/>
        <w:spacing w:lineRule="atLeast" w:lin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Амурской области на 202</w:t>
      </w:r>
      <w:r>
        <w:rPr>
          <w:rFonts w:ascii="Times New Roman" w:hAnsi="Times New Roman"/>
          <w:sz w:val="24"/>
          <w:szCs w:val="24"/>
        </w:rPr>
        <w:t xml:space="preserve">4</w:t>
      </w:r>
      <w:r>
        <w:rPr>
          <w:rFonts w:ascii="Times New Roman" w:hAnsi="Times New Roman"/>
          <w:sz w:val="24"/>
          <w:szCs w:val="24"/>
        </w:rPr>
        <w:t xml:space="preserve">- 202</w:t>
      </w:r>
      <w:r>
        <w:rPr>
          <w:rFonts w:ascii="Times New Roman" w:hAnsi="Times New Roman"/>
          <w:sz w:val="24"/>
          <w:szCs w:val="24"/>
        </w:rPr>
        <w:t xml:space="preserve">6</w:t>
      </w:r>
      <w:r>
        <w:rPr>
          <w:rFonts w:ascii="Times New Roman" w:hAnsi="Times New Roman"/>
          <w:sz w:val="24"/>
          <w:szCs w:val="24"/>
        </w:rPr>
        <w:t xml:space="preserve"> годы»</w:t>
      </w:r>
      <w:r/>
    </w:p>
    <w:p>
      <w:pPr>
        <w:jc w:val="right"/>
        <w:spacing w:lineRule="atLeast" w:lin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jc w:val="center"/>
        <w:spacing w:lineRule="atLeast" w:lin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jc w:val="center"/>
        <w:spacing w:lineRule="atLeast" w:line="0"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СИСТЕМА</w:t>
      </w:r>
      <w:r/>
    </w:p>
    <w:p>
      <w:pPr>
        <w:jc w:val="center"/>
        <w:spacing w:lineRule="atLeast" w:line="0"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целевых показателей Программы</w:t>
      </w:r>
      <w:r/>
    </w:p>
    <w:p>
      <w:pPr>
        <w:jc w:val="center"/>
        <w:spacing w:lineRule="atLeast" w:lin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tbl>
      <w:tblPr>
        <w:tblW w:w="0" w:type="auto"/>
        <w:tblInd w:w="-513" w:type="dxa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5"/>
        <w:gridCol w:w="6"/>
        <w:gridCol w:w="4899"/>
        <w:gridCol w:w="6"/>
        <w:gridCol w:w="2124"/>
        <w:gridCol w:w="6"/>
        <w:gridCol w:w="2212"/>
      </w:tblGrid>
      <w:tr>
        <w:trPr>
          <w:trHeight w:val="759"/>
        </w:trPr>
        <w:tc>
          <w:tcPr>
            <w:gridSpan w:val="2"/>
            <w:tcW w:w="621" w:type="dxa"/>
            <w:textDirection w:val="lrTb"/>
            <w:noWrap w:val="false"/>
          </w:tcPr>
          <w:p>
            <w:pPr>
              <w:ind w:left="62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  <w:p>
            <w:pPr>
              <w:pStyle w:val="629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</w:t>
            </w:r>
            <w:r/>
          </w:p>
          <w:p>
            <w:pPr>
              <w:pStyle w:val="629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п/п</w:t>
            </w:r>
            <w:r/>
          </w:p>
        </w:tc>
        <w:tc>
          <w:tcPr>
            <w:gridSpan w:val="2"/>
            <w:tcW w:w="4905" w:type="dxa"/>
            <w:textDirection w:val="lrTb"/>
            <w:noWrap w:val="false"/>
          </w:tcPr>
          <w:p>
            <w:pPr>
              <w:jc w:val="center"/>
              <w:spacing w:lineRule="atLeast" w:lin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  <w:p>
            <w:pPr>
              <w:ind w:left="17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Наименование целевых показателей</w:t>
            </w:r>
            <w:r/>
          </w:p>
        </w:tc>
        <w:tc>
          <w:tcPr>
            <w:gridSpan w:val="2"/>
            <w:tcW w:w="2130" w:type="dxa"/>
            <w:textDirection w:val="lrTb"/>
            <w:noWrap w:val="false"/>
          </w:tcPr>
          <w:p>
            <w:pPr>
              <w:jc w:val="center"/>
              <w:spacing w:lineRule="auto" w:line="276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Единица</w:t>
            </w:r>
            <w:r/>
          </w:p>
          <w:p>
            <w:pPr>
              <w:pStyle w:val="629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измерения</w:t>
            </w:r>
            <w:r/>
          </w:p>
        </w:tc>
        <w:tc>
          <w:tcPr>
            <w:tcW w:w="2212" w:type="dxa"/>
            <w:textDirection w:val="lrTb"/>
            <w:noWrap w:val="false"/>
          </w:tcPr>
          <w:p>
            <w:pPr>
              <w:jc w:val="center"/>
              <w:spacing w:lineRule="auto" w:line="276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Значение</w:t>
            </w:r>
            <w:r/>
          </w:p>
          <w:p>
            <w:pPr>
              <w:pStyle w:val="629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показателя</w:t>
            </w:r>
            <w:r/>
          </w:p>
        </w:tc>
      </w:tr>
      <w:tr>
        <w:trPr>
          <w:trHeight w:val="1920"/>
        </w:trPr>
        <w:tc>
          <w:tcPr>
            <w:gridSpan w:val="2"/>
            <w:tcW w:w="621" w:type="dxa"/>
            <w:textDirection w:val="lrTb"/>
            <w:noWrap w:val="false"/>
          </w:tcPr>
          <w:p>
            <w:pPr>
              <w:ind w:left="62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  <w:p>
            <w:pPr>
              <w:ind w:left="62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  <w:p>
            <w:pPr>
              <w:pStyle w:val="629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</w:t>
            </w:r>
            <w:r/>
          </w:p>
        </w:tc>
        <w:tc>
          <w:tcPr>
            <w:gridSpan w:val="2"/>
            <w:tcW w:w="4905" w:type="dxa"/>
            <w:textDirection w:val="lrTb"/>
            <w:noWrap w:val="false"/>
          </w:tcPr>
          <w:p>
            <w:pPr>
              <w:ind w:left="17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Количество объектов недвижимого имущества, по которым оформлены технические паспорта, кадастровые паспорта, завершена государственная регистрация права собственности.</w:t>
            </w:r>
            <w:r/>
          </w:p>
        </w:tc>
        <w:tc>
          <w:tcPr>
            <w:gridSpan w:val="2"/>
            <w:tcW w:w="2130" w:type="dxa"/>
            <w:textDirection w:val="lrTb"/>
            <w:noWrap w:val="false"/>
          </w:tcPr>
          <w:p>
            <w:pPr>
              <w:jc w:val="center"/>
              <w:spacing w:lineRule="auto" w:line="276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  <w:p>
            <w:pPr>
              <w:pStyle w:val="629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tcW w:w="2212" w:type="dxa"/>
            <w:textDirection w:val="lrTb"/>
            <w:noWrap w:val="false"/>
          </w:tcPr>
          <w:p>
            <w:pPr>
              <w:jc w:val="center"/>
              <w:spacing w:lineRule="auto" w:line="276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  <w:p>
            <w:pPr>
              <w:pStyle w:val="629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115</w:t>
            </w:r>
            <w:r/>
          </w:p>
        </w:tc>
      </w:tr>
      <w:tr>
        <w:trPr>
          <w:trHeight w:val="1366"/>
        </w:trPr>
        <w:tc>
          <w:tcPr>
            <w:gridSpan w:val="2"/>
            <w:tcW w:w="621" w:type="dxa"/>
            <w:textDirection w:val="lrTb"/>
            <w:noWrap w:val="false"/>
          </w:tcPr>
          <w:p>
            <w:pPr>
              <w:ind w:left="62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</w:t>
            </w:r>
            <w:r/>
          </w:p>
        </w:tc>
        <w:tc>
          <w:tcPr>
            <w:gridSpan w:val="2"/>
            <w:tcW w:w="490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Количество объектов,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которым определена рыночная стоимость годовой арендной платы.</w:t>
            </w:r>
            <w:r/>
          </w:p>
        </w:tc>
        <w:tc>
          <w:tcPr>
            <w:gridSpan w:val="2"/>
            <w:tcW w:w="2130" w:type="dxa"/>
            <w:textDirection w:val="lrTb"/>
            <w:noWrap w:val="false"/>
          </w:tcPr>
          <w:p>
            <w:pPr>
              <w:ind w:left="621"/>
              <w:tabs>
                <w:tab w:val="center" w:pos="1267" w:leader="none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tcW w:w="2212" w:type="dxa"/>
            <w:textDirection w:val="lrTb"/>
            <w:noWrap w:val="false"/>
          </w:tcPr>
          <w:p>
            <w:pPr>
              <w:ind w:left="62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  <w:p>
            <w:pPr>
              <w:ind w:left="62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3</w:t>
            </w:r>
            <w:r/>
          </w:p>
        </w:tc>
      </w:tr>
      <w:tr>
        <w:trPr>
          <w:trHeight w:val="1568"/>
        </w:trPr>
        <w:tc>
          <w:tcPr>
            <w:gridSpan w:val="2"/>
            <w:tcW w:w="621" w:type="dxa"/>
            <w:textDirection w:val="lrTb"/>
            <w:noWrap w:val="false"/>
          </w:tcPr>
          <w:p>
            <w:pPr>
              <w:ind w:left="62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3</w:t>
            </w:r>
            <w:r/>
          </w:p>
        </w:tc>
        <w:tc>
          <w:tcPr>
            <w:gridSpan w:val="2"/>
            <w:tcW w:w="490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Количество объектов, переданных 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аренду, концессию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</w:t>
            </w:r>
            <w:r/>
          </w:p>
        </w:tc>
        <w:tc>
          <w:tcPr>
            <w:gridSpan w:val="2"/>
            <w:tcW w:w="2130" w:type="dxa"/>
            <w:textDirection w:val="lrTb"/>
            <w:noWrap w:val="false"/>
          </w:tcPr>
          <w:p>
            <w:pPr>
              <w:ind w:left="621"/>
              <w:tabs>
                <w:tab w:val="center" w:pos="1267" w:leader="none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tcW w:w="2212" w:type="dxa"/>
            <w:textDirection w:val="lrTb"/>
            <w:noWrap w:val="false"/>
          </w:tcPr>
          <w:p>
            <w:pPr>
              <w:ind w:left="62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  <w:p>
            <w:pPr>
              <w:ind w:left="62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8</w:t>
            </w:r>
            <w:r/>
          </w:p>
        </w:tc>
      </w:tr>
      <w:tr>
        <w:trPr>
          <w:trHeight w:val="1119"/>
        </w:trPr>
        <w:tc>
          <w:tcPr>
            <w:gridSpan w:val="2"/>
            <w:tcW w:w="621" w:type="dxa"/>
            <w:textDirection w:val="lrTb"/>
            <w:noWrap w:val="false"/>
          </w:tcPr>
          <w:p>
            <w:pPr>
              <w:ind w:left="62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</w:t>
            </w:r>
            <w:r/>
          </w:p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</w:t>
            </w:r>
            <w:r/>
          </w:p>
        </w:tc>
        <w:tc>
          <w:tcPr>
            <w:gridSpan w:val="2"/>
            <w:tcW w:w="490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Количество проданного неэффективного имущества</w:t>
            </w:r>
            <w:r/>
          </w:p>
        </w:tc>
        <w:tc>
          <w:tcPr>
            <w:gridSpan w:val="2"/>
            <w:tcW w:w="2130" w:type="dxa"/>
            <w:textDirection w:val="lrTb"/>
            <w:noWrap w:val="false"/>
          </w:tcPr>
          <w:p>
            <w:pPr>
              <w:ind w:left="621"/>
              <w:tabs>
                <w:tab w:val="center" w:pos="1267" w:leader="none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tcW w:w="2212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  <w:r/>
          </w:p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11</w:t>
            </w:r>
            <w:r/>
          </w:p>
        </w:tc>
      </w:tr>
      <w:tr>
        <w:trPr>
          <w:trHeight w:val="1446"/>
        </w:trPr>
        <w:tc>
          <w:tcPr>
            <w:tcW w:w="615" w:type="dxa"/>
            <w:textDirection w:val="lrTb"/>
            <w:noWrap w:val="false"/>
          </w:tcPr>
          <w:p>
            <w:pPr>
              <w:jc w:val="center"/>
              <w:spacing w:lineRule="atLeast" w:lin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</w:t>
            </w:r>
            <w:r/>
          </w:p>
        </w:tc>
        <w:tc>
          <w:tcPr>
            <w:gridSpan w:val="2"/>
            <w:tcW w:w="4905" w:type="dxa"/>
            <w:textDirection w:val="lrTb"/>
            <w:noWrap w:val="false"/>
          </w:tcPr>
          <w:p>
            <w:pPr>
              <w:jc w:val="center"/>
              <w:spacing w:lineRule="atLeast" w:lin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Разработка нормативно-правовых актов в сфере землепользования и градостроительного планирования территории с. Стойба.</w:t>
            </w:r>
            <w:r/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gridSpan w:val="2"/>
            <w:tcW w:w="2130" w:type="dxa"/>
            <w:textDirection w:val="lrTb"/>
            <w:noWrap w:val="false"/>
          </w:tcPr>
          <w:p>
            <w:pPr>
              <w:spacing w:lineRule="auto" w:line="276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gridSpan w:val="2"/>
            <w:tcW w:w="2218" w:type="dxa"/>
            <w:textDirection w:val="lrTb"/>
            <w:noWrap w:val="false"/>
          </w:tcPr>
          <w:p>
            <w:pPr>
              <w:jc w:val="center"/>
              <w:spacing w:lineRule="auto" w:line="276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</w:t>
            </w:r>
            <w:r/>
          </w:p>
        </w:tc>
      </w:tr>
    </w:tbl>
    <w:p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spacing w:lineRule="auto" w:line="257"/>
        <w:sectPr>
          <w:footnotePr/>
          <w:endnotePr/>
          <w:type w:val="nextPage"/>
          <w:pgSz w:w="11906" w:h="16838" w:orient="portrait"/>
          <w:pgMar w:top="568" w:right="850" w:bottom="1134" w:left="1418" w:header="708" w:footer="708" w:gutter="0"/>
          <w:cols w:num="1" w:sep="0" w:space="708" w:equalWidth="1"/>
          <w:docGrid w:linePitch="360"/>
        </w:sectPr>
      </w:pPr>
      <w:r/>
      <w:r/>
    </w:p>
    <w:p>
      <w:pPr>
        <w:jc w:val="right"/>
        <w:spacing w:lineRule="atLeast" w:line="0"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Приложение № 2</w:t>
      </w:r>
      <w:r/>
    </w:p>
    <w:p>
      <w:pPr>
        <w:jc w:val="right"/>
        <w:spacing w:lineRule="atLeast" w:line="0"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Муниципальной программы «О государственной регистрации</w:t>
      </w:r>
      <w:r/>
    </w:p>
    <w:p>
      <w:pPr>
        <w:jc w:val="right"/>
        <w:spacing w:lineRule="atLeast" w:line="0"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Прав собственности на муниципальное имущество</w:t>
      </w:r>
      <w:r/>
    </w:p>
    <w:p>
      <w:pPr>
        <w:jc w:val="right"/>
        <w:spacing w:lineRule="atLeast" w:line="0"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Администрации </w:t>
      </w:r>
      <w:r>
        <w:rPr>
          <w:rFonts w:ascii="Times New Roman" w:hAnsi="Times New Roman"/>
        </w:rPr>
        <w:t xml:space="preserve">Стойбинского</w:t>
      </w:r>
      <w:r>
        <w:rPr>
          <w:rFonts w:ascii="Times New Roman" w:hAnsi="Times New Roman"/>
        </w:rPr>
        <w:t xml:space="preserve"> сельсовета </w:t>
      </w:r>
      <w:r>
        <w:rPr>
          <w:rFonts w:ascii="Times New Roman" w:hAnsi="Times New Roman"/>
        </w:rPr>
        <w:t xml:space="preserve">Селемджинского</w:t>
      </w:r>
      <w:r>
        <w:rPr>
          <w:rFonts w:ascii="Times New Roman" w:hAnsi="Times New Roman"/>
        </w:rPr>
        <w:t xml:space="preserve"> района </w:t>
      </w:r>
      <w:r/>
    </w:p>
    <w:p>
      <w:pPr>
        <w:jc w:val="right"/>
        <w:spacing w:lineRule="atLeast" w:line="0"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Амурской области на 202</w:t>
      </w:r>
      <w:r>
        <w:rPr>
          <w:rFonts w:ascii="Times New Roman" w:hAnsi="Times New Roman"/>
        </w:rPr>
        <w:t xml:space="preserve">4</w:t>
      </w:r>
      <w:r>
        <w:rPr>
          <w:rFonts w:ascii="Times New Roman" w:hAnsi="Times New Roman"/>
        </w:rPr>
        <w:t xml:space="preserve">-202</w:t>
      </w:r>
      <w:r>
        <w:rPr>
          <w:rFonts w:ascii="Times New Roman" w:hAnsi="Times New Roman"/>
        </w:rPr>
        <w:t xml:space="preserve">6</w:t>
      </w:r>
      <w:r>
        <w:rPr>
          <w:rFonts w:ascii="Times New Roman" w:hAnsi="Times New Roman"/>
        </w:rPr>
        <w:t xml:space="preserve"> годы»</w:t>
      </w:r>
      <w:r/>
    </w:p>
    <w:p>
      <w:pPr>
        <w:jc w:val="right"/>
        <w:spacing w:lineRule="atLeast" w:line="0" w:after="0"/>
      </w:pPr>
      <w:r/>
      <w:r/>
    </w:p>
    <w:p>
      <w:pPr>
        <w:jc w:val="center"/>
        <w:spacing w:lineRule="atLeast" w:line="0"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СИСТЕМА</w:t>
      </w:r>
      <w:r/>
    </w:p>
    <w:p>
      <w:pPr>
        <w:jc w:val="center"/>
        <w:spacing w:lineRule="atLeast" w:lin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программных мероприятий</w:t>
      </w:r>
      <w:r/>
    </w:p>
    <w:tbl>
      <w:tblPr>
        <w:tblW w:w="0" w:type="auto"/>
        <w:tblInd w:w="-816" w:type="dxa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459"/>
        <w:gridCol w:w="3135"/>
        <w:gridCol w:w="1620"/>
        <w:gridCol w:w="1320"/>
        <w:gridCol w:w="1620"/>
        <w:gridCol w:w="2040"/>
        <w:gridCol w:w="2190"/>
        <w:gridCol w:w="1995"/>
        <w:gridCol w:w="1740"/>
      </w:tblGrid>
      <w:tr>
        <w:trPr>
          <w:trHeight w:val="1080"/>
        </w:trPr>
        <w:tc>
          <w:tcPr>
            <w:tcW w:w="459" w:type="dxa"/>
            <w:vMerge w:val="restart"/>
            <w:textDirection w:val="lrTb"/>
            <w:noWrap w:val="false"/>
          </w:tcPr>
          <w:p>
            <w:pPr>
              <w:jc w:val="center"/>
              <w:spacing w:lineRule="atLeast" w:lin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№</w:t>
            </w:r>
            <w:r/>
          </w:p>
          <w:p>
            <w:pPr>
              <w:jc w:val="center"/>
              <w:spacing w:lineRule="atLeast" w:lin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п/п</w:t>
            </w:r>
            <w:r/>
          </w:p>
        </w:tc>
        <w:tc>
          <w:tcPr>
            <w:tcW w:w="3135" w:type="dxa"/>
            <w:vMerge w:val="restart"/>
            <w:textDirection w:val="lrTb"/>
            <w:noWrap w:val="false"/>
          </w:tcPr>
          <w:p>
            <w:pPr>
              <w:jc w:val="center"/>
              <w:spacing w:lineRule="atLeast" w:lin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  <w:r/>
          </w:p>
          <w:p>
            <w:pPr>
              <w:jc w:val="center"/>
              <w:spacing w:lineRule="atLeast" w:lin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  <w:r/>
          </w:p>
          <w:p>
            <w:pPr>
              <w:jc w:val="center"/>
              <w:spacing w:lineRule="atLeast" w:lin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  <w:r/>
          </w:p>
          <w:p>
            <w:pPr>
              <w:jc w:val="center"/>
              <w:spacing w:lineRule="atLeast" w:lin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Наименование мероприятия</w:t>
            </w:r>
            <w:r/>
          </w:p>
        </w:tc>
        <w:tc>
          <w:tcPr>
            <w:tcW w:w="1620" w:type="dxa"/>
            <w:vMerge w:val="restart"/>
            <w:textDirection w:val="lrTb"/>
            <w:noWrap w:val="false"/>
          </w:tcPr>
          <w:p>
            <w:pPr>
              <w:jc w:val="center"/>
              <w:spacing w:lineRule="atLeast" w:lin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  <w:r/>
          </w:p>
          <w:p>
            <w:pPr>
              <w:jc w:val="center"/>
              <w:spacing w:lineRule="atLeast" w:lin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  <w:r/>
          </w:p>
          <w:p>
            <w:pPr>
              <w:jc w:val="center"/>
              <w:spacing w:lineRule="atLeast" w:lin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Источники</w:t>
            </w:r>
            <w:r/>
          </w:p>
          <w:p>
            <w:pPr>
              <w:jc w:val="center"/>
              <w:spacing w:lineRule="atLeast" w:lin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финансирования</w:t>
            </w:r>
            <w:r/>
          </w:p>
        </w:tc>
        <w:tc>
          <w:tcPr>
            <w:tcW w:w="1320" w:type="dxa"/>
            <w:vMerge w:val="restart"/>
            <w:textDirection w:val="lrTb"/>
            <w:noWrap w:val="false"/>
          </w:tcPr>
          <w:p>
            <w:pPr>
              <w:jc w:val="center"/>
              <w:spacing w:lineRule="atLeast" w:lin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  <w:r/>
          </w:p>
          <w:p>
            <w:pPr>
              <w:jc w:val="center"/>
              <w:spacing w:lineRule="atLeast" w:lin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Объем</w:t>
            </w:r>
            <w:r/>
          </w:p>
          <w:p>
            <w:pPr>
              <w:jc w:val="center"/>
              <w:spacing w:lineRule="atLeast" w:lin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финанси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-</w:t>
            </w:r>
            <w:r/>
          </w:p>
          <w:p>
            <w:pPr>
              <w:jc w:val="center"/>
              <w:spacing w:lineRule="atLeast" w:lin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рования</w:t>
            </w:r>
            <w:r/>
          </w:p>
          <w:p>
            <w:pPr>
              <w:jc w:val="center"/>
              <w:spacing w:lineRule="atLeast" w:lin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тыс. руб.</w:t>
            </w:r>
            <w:r/>
          </w:p>
        </w:tc>
        <w:tc>
          <w:tcPr>
            <w:gridSpan w:val="3"/>
            <w:tcW w:w="5850" w:type="dxa"/>
            <w:textDirection w:val="lrTb"/>
            <w:noWrap w:val="false"/>
          </w:tcPr>
          <w:p>
            <w:pPr>
              <w:jc w:val="center"/>
              <w:spacing w:lineRule="atLeast" w:lin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Финансирование по годам реализации, тыс. руб.</w:t>
            </w:r>
            <w:r/>
          </w:p>
        </w:tc>
        <w:tc>
          <w:tcPr>
            <w:tcW w:w="1995" w:type="dxa"/>
            <w:vMerge w:val="restart"/>
            <w:textDirection w:val="lrTb"/>
            <w:noWrap w:val="false"/>
          </w:tcPr>
          <w:p>
            <w:pPr>
              <w:jc w:val="center"/>
              <w:spacing w:lineRule="atLeast" w:lin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Ожидаемый результат</w:t>
            </w:r>
            <w:r/>
          </w:p>
        </w:tc>
        <w:tc>
          <w:tcPr>
            <w:tcW w:w="1740" w:type="dxa"/>
            <w:vMerge w:val="restart"/>
            <w:textDirection w:val="lrTb"/>
            <w:noWrap w:val="false"/>
          </w:tcPr>
          <w:p>
            <w:pPr>
              <w:jc w:val="center"/>
              <w:spacing w:lineRule="atLeast" w:lin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Муниципальный</w:t>
            </w:r>
            <w:r/>
          </w:p>
          <w:p>
            <w:pPr>
              <w:jc w:val="center"/>
              <w:spacing w:lineRule="atLeast" w:lin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заказчик,</w:t>
            </w:r>
            <w:r/>
          </w:p>
          <w:p>
            <w:pPr>
              <w:jc w:val="center"/>
              <w:spacing w:lineRule="atLeast" w:lin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исполнитель</w:t>
            </w:r>
            <w:r/>
          </w:p>
        </w:tc>
      </w:tr>
      <w:tr>
        <w:trPr>
          <w:trHeight w:val="375"/>
        </w:trPr>
        <w:tc>
          <w:tcPr>
            <w:tcW w:w="459" w:type="dxa"/>
            <w:vMerge w:val="continue"/>
            <w:textDirection w:val="lrTb"/>
            <w:noWrap w:val="false"/>
          </w:tcPr>
          <w:p>
            <w:pPr>
              <w:jc w:val="center"/>
              <w:spacing w:lineRule="atLeast" w:lin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  <w:r/>
          </w:p>
        </w:tc>
        <w:tc>
          <w:tcPr>
            <w:tcW w:w="3135" w:type="dxa"/>
            <w:vMerge w:val="continue"/>
            <w:textDirection w:val="lrTb"/>
            <w:noWrap w:val="false"/>
          </w:tcPr>
          <w:p>
            <w:pPr>
              <w:jc w:val="center"/>
              <w:spacing w:lineRule="atLeast" w:lin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  <w:r/>
          </w:p>
        </w:tc>
        <w:tc>
          <w:tcPr>
            <w:tcW w:w="1620" w:type="dxa"/>
            <w:vMerge w:val="continue"/>
            <w:textDirection w:val="lrTb"/>
            <w:noWrap w:val="false"/>
          </w:tcPr>
          <w:p>
            <w:pPr>
              <w:jc w:val="center"/>
              <w:spacing w:lineRule="atLeast" w:lin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  <w:r/>
          </w:p>
        </w:tc>
        <w:tc>
          <w:tcPr>
            <w:tcW w:w="1320" w:type="dxa"/>
            <w:vMerge w:val="continue"/>
            <w:textDirection w:val="lrTb"/>
            <w:noWrap w:val="false"/>
          </w:tcPr>
          <w:p>
            <w:pPr>
              <w:jc w:val="center"/>
              <w:spacing w:lineRule="atLeast" w:lin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  <w:r/>
          </w:p>
        </w:tc>
        <w:tc>
          <w:tcPr>
            <w:tcW w:w="1620" w:type="dxa"/>
            <w:textDirection w:val="lrTb"/>
            <w:noWrap w:val="false"/>
          </w:tcPr>
          <w:p>
            <w:pPr>
              <w:jc w:val="center"/>
              <w:spacing w:lineRule="atLeast" w:lin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202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4</w:t>
            </w:r>
            <w:r/>
          </w:p>
        </w:tc>
        <w:tc>
          <w:tcPr>
            <w:tcW w:w="2040" w:type="dxa"/>
            <w:textDirection w:val="lrTb"/>
            <w:noWrap w:val="false"/>
          </w:tcPr>
          <w:p>
            <w:pPr>
              <w:jc w:val="center"/>
              <w:spacing w:lineRule="atLeast" w:lin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202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5</w:t>
            </w:r>
            <w:r/>
          </w:p>
        </w:tc>
        <w:tc>
          <w:tcPr>
            <w:tcW w:w="2190" w:type="dxa"/>
            <w:textDirection w:val="lrTb"/>
            <w:noWrap w:val="false"/>
          </w:tcPr>
          <w:p>
            <w:pPr>
              <w:jc w:val="center"/>
              <w:spacing w:lineRule="atLeast" w:lin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202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6</w:t>
            </w:r>
            <w:r/>
          </w:p>
        </w:tc>
        <w:tc>
          <w:tcPr>
            <w:tcW w:w="1995" w:type="dxa"/>
            <w:vMerge w:val="continue"/>
            <w:textDirection w:val="lrTb"/>
            <w:noWrap w:val="false"/>
          </w:tcPr>
          <w:p>
            <w:pPr>
              <w:jc w:val="center"/>
              <w:spacing w:lineRule="atLeast" w:lin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  <w:r/>
          </w:p>
        </w:tc>
        <w:tc>
          <w:tcPr>
            <w:tcW w:w="1740" w:type="dxa"/>
            <w:vMerge w:val="continue"/>
            <w:textDirection w:val="lrTb"/>
            <w:noWrap w:val="false"/>
          </w:tcPr>
          <w:p>
            <w:pPr>
              <w:jc w:val="center"/>
              <w:spacing w:lineRule="atLeast" w:lin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  <w:r/>
          </w:p>
        </w:tc>
      </w:tr>
      <w:tr>
        <w:trPr>
          <w:trHeight w:val="300"/>
        </w:trPr>
        <w:tc>
          <w:tcPr>
            <w:tcW w:w="459" w:type="dxa"/>
            <w:textDirection w:val="lrTb"/>
            <w:noWrap w:val="false"/>
          </w:tcPr>
          <w:p>
            <w:pPr>
              <w:jc w:val="center"/>
              <w:spacing w:lineRule="atLeast" w:lin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</w:t>
            </w:r>
            <w:r/>
          </w:p>
        </w:tc>
        <w:tc>
          <w:tcPr>
            <w:tcW w:w="3135" w:type="dxa"/>
            <w:textDirection w:val="lrTb"/>
            <w:noWrap w:val="false"/>
          </w:tcPr>
          <w:p>
            <w:pPr>
              <w:jc w:val="center"/>
              <w:spacing w:lineRule="atLeast" w:lin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</w:t>
            </w:r>
            <w:r/>
          </w:p>
        </w:tc>
        <w:tc>
          <w:tcPr>
            <w:tcW w:w="1620" w:type="dxa"/>
            <w:textDirection w:val="lrTb"/>
            <w:noWrap w:val="false"/>
          </w:tcPr>
          <w:p>
            <w:pPr>
              <w:jc w:val="center"/>
              <w:spacing w:lineRule="atLeast" w:lin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3</w:t>
            </w:r>
            <w:r/>
          </w:p>
        </w:tc>
        <w:tc>
          <w:tcPr>
            <w:tcW w:w="1320" w:type="dxa"/>
            <w:textDirection w:val="lrTb"/>
            <w:noWrap w:val="false"/>
          </w:tcPr>
          <w:p>
            <w:pPr>
              <w:jc w:val="center"/>
              <w:spacing w:lineRule="atLeast" w:lin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4</w:t>
            </w:r>
            <w:r/>
          </w:p>
        </w:tc>
        <w:tc>
          <w:tcPr>
            <w:tcW w:w="1620" w:type="dxa"/>
            <w:textDirection w:val="lrTb"/>
            <w:noWrap w:val="false"/>
          </w:tcPr>
          <w:p>
            <w:pPr>
              <w:jc w:val="center"/>
              <w:spacing w:lineRule="atLeast" w:lin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5</w:t>
            </w:r>
            <w:r/>
          </w:p>
        </w:tc>
        <w:tc>
          <w:tcPr>
            <w:tcW w:w="2040" w:type="dxa"/>
            <w:textDirection w:val="lrTb"/>
            <w:noWrap w:val="false"/>
          </w:tcPr>
          <w:p>
            <w:pPr>
              <w:jc w:val="center"/>
              <w:spacing w:lineRule="atLeast" w:lin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6</w:t>
            </w:r>
            <w:r/>
          </w:p>
        </w:tc>
        <w:tc>
          <w:tcPr>
            <w:tcW w:w="2190" w:type="dxa"/>
            <w:textDirection w:val="lrTb"/>
            <w:noWrap w:val="false"/>
          </w:tcPr>
          <w:p>
            <w:pPr>
              <w:jc w:val="center"/>
              <w:spacing w:lineRule="atLeast" w:lin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7</w:t>
            </w:r>
            <w:r/>
          </w:p>
        </w:tc>
        <w:tc>
          <w:tcPr>
            <w:tcW w:w="1995" w:type="dxa"/>
            <w:textDirection w:val="lrTb"/>
            <w:noWrap w:val="false"/>
          </w:tcPr>
          <w:p>
            <w:pPr>
              <w:jc w:val="center"/>
              <w:spacing w:lineRule="atLeast" w:lin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8</w:t>
            </w:r>
            <w:r/>
          </w:p>
        </w:tc>
        <w:tc>
          <w:tcPr>
            <w:tcW w:w="1740" w:type="dxa"/>
            <w:textDirection w:val="lrTb"/>
            <w:noWrap w:val="false"/>
          </w:tcPr>
          <w:p>
            <w:pPr>
              <w:jc w:val="center"/>
              <w:spacing w:lineRule="atLeast" w:lin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9</w:t>
            </w:r>
            <w:r/>
          </w:p>
        </w:tc>
      </w:tr>
      <w:tr>
        <w:trPr>
          <w:trHeight w:val="975"/>
        </w:trPr>
        <w:tc>
          <w:tcPr>
            <w:tcW w:w="459" w:type="dxa"/>
            <w:textDirection w:val="lrTb"/>
            <w:noWrap w:val="false"/>
          </w:tcPr>
          <w:p>
            <w:pPr>
              <w:jc w:val="center"/>
              <w:spacing w:lineRule="atLeast" w:lin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</w:t>
            </w:r>
            <w:r/>
          </w:p>
        </w:tc>
        <w:tc>
          <w:tcPr>
            <w:tcW w:w="3135" w:type="dxa"/>
            <w:textDirection w:val="lrTb"/>
            <w:noWrap w:val="false"/>
          </w:tcPr>
          <w:p>
            <w:pPr>
              <w:jc w:val="center"/>
              <w:spacing w:lineRule="atLeast" w:lin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Оформление технической документации на объекты недвижимости (технические паспорта, технические планы,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межевые планы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постановка на кадастровый учет) государственная регистрация права собственности.</w:t>
            </w:r>
            <w:r/>
          </w:p>
        </w:tc>
        <w:tc>
          <w:tcPr>
            <w:tcW w:w="1620" w:type="dxa"/>
            <w:vMerge w:val="restart"/>
            <w:textDirection w:val="lrTb"/>
            <w:noWrap w:val="false"/>
          </w:tcPr>
          <w:p>
            <w:pPr>
              <w:jc w:val="center"/>
              <w:spacing w:lineRule="atLeast" w:lin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  <w:r/>
          </w:p>
          <w:p>
            <w:pPr>
              <w:jc w:val="center"/>
              <w:spacing w:lineRule="atLeast" w:lin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  <w:r/>
          </w:p>
          <w:p>
            <w:pPr>
              <w:jc w:val="center"/>
              <w:spacing w:lineRule="atLeast" w:lin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  <w:r/>
          </w:p>
          <w:p>
            <w:pPr>
              <w:jc w:val="center"/>
              <w:spacing w:lineRule="atLeast" w:lin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  <w:r/>
          </w:p>
          <w:p>
            <w:pPr>
              <w:jc w:val="center"/>
              <w:spacing w:lineRule="atLeast" w:lin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  <w:r/>
          </w:p>
          <w:p>
            <w:pPr>
              <w:jc w:val="center"/>
              <w:spacing w:lineRule="atLeast" w:lin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  <w:r/>
          </w:p>
          <w:p>
            <w:pPr>
              <w:jc w:val="center"/>
              <w:spacing w:lineRule="atLeast" w:lin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  <w:r/>
          </w:p>
          <w:p>
            <w:pPr>
              <w:jc w:val="center"/>
              <w:spacing w:lineRule="atLeast" w:lin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  <w:r/>
          </w:p>
          <w:p>
            <w:pPr>
              <w:jc w:val="center"/>
              <w:spacing w:lineRule="atLeast" w:lin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  <w:r/>
          </w:p>
          <w:p>
            <w:pPr>
              <w:jc w:val="center"/>
              <w:spacing w:lineRule="atLeast" w:lin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  <w:r/>
          </w:p>
          <w:p>
            <w:pPr>
              <w:jc w:val="center"/>
              <w:spacing w:lineRule="atLeast" w:lin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  <w:r/>
          </w:p>
          <w:p>
            <w:pPr>
              <w:jc w:val="center"/>
              <w:spacing w:lineRule="atLeast" w:lin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  <w:r/>
          </w:p>
          <w:p>
            <w:pPr>
              <w:jc w:val="center"/>
              <w:spacing w:lineRule="atLeast" w:lin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  <w:r/>
          </w:p>
          <w:p>
            <w:pPr>
              <w:jc w:val="center"/>
              <w:spacing w:lineRule="atLeast" w:lin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Местный</w:t>
            </w:r>
            <w:r/>
          </w:p>
          <w:p>
            <w:pPr>
              <w:jc w:val="center"/>
              <w:spacing w:lineRule="atLeast" w:lin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Бюджет</w:t>
            </w:r>
            <w:r/>
          </w:p>
          <w:p>
            <w:pPr>
              <w:jc w:val="center"/>
              <w:spacing w:lineRule="atLeast" w:lin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поселения</w:t>
            </w:r>
            <w:r/>
          </w:p>
        </w:tc>
        <w:tc>
          <w:tcPr>
            <w:tcW w:w="1320" w:type="dxa"/>
            <w:textDirection w:val="lrTb"/>
            <w:noWrap w:val="false"/>
          </w:tcPr>
          <w:p>
            <w:pPr>
              <w:jc w:val="center"/>
              <w:spacing w:lineRule="atLeast" w:lin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  <w:r/>
          </w:p>
          <w:p>
            <w:pPr>
              <w:jc w:val="center"/>
              <w:spacing w:lineRule="atLeast" w:lin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  <w:r/>
          </w:p>
          <w:p>
            <w:pPr>
              <w:jc w:val="center"/>
              <w:spacing w:lineRule="atLeast" w:lin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  <w:r/>
          </w:p>
          <w:p>
            <w:pPr>
              <w:jc w:val="center"/>
              <w:spacing w:lineRule="atLeast" w:lin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7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5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,00</w:t>
            </w:r>
            <w:r/>
          </w:p>
        </w:tc>
        <w:tc>
          <w:tcPr>
            <w:tcW w:w="1620" w:type="dxa"/>
            <w:textDirection w:val="lrTb"/>
            <w:noWrap w:val="false"/>
          </w:tcPr>
          <w:p>
            <w:pPr>
              <w:jc w:val="center"/>
              <w:spacing w:lineRule="atLeast" w:lin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  <w:r/>
          </w:p>
          <w:p>
            <w:pPr>
              <w:jc w:val="center"/>
              <w:spacing w:lineRule="atLeast" w:lin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  <w:r/>
          </w:p>
          <w:p>
            <w:pPr>
              <w:jc w:val="center"/>
              <w:spacing w:lineRule="atLeast" w:lin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  <w:r/>
          </w:p>
          <w:p>
            <w:pPr>
              <w:jc w:val="center"/>
              <w:spacing w:lineRule="atLeast" w:lin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250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,00</w:t>
            </w:r>
            <w:r/>
          </w:p>
        </w:tc>
        <w:tc>
          <w:tcPr>
            <w:tcW w:w="2040" w:type="dxa"/>
            <w:textDirection w:val="lrTb"/>
            <w:noWrap w:val="false"/>
          </w:tcPr>
          <w:p>
            <w:pPr>
              <w:jc w:val="center"/>
              <w:spacing w:lineRule="atLeast" w:lin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  <w:r/>
          </w:p>
          <w:p>
            <w:pPr>
              <w:jc w:val="center"/>
              <w:spacing w:lineRule="atLeast" w:lin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  <w:r/>
          </w:p>
          <w:p>
            <w:pPr>
              <w:jc w:val="center"/>
              <w:spacing w:lineRule="atLeast" w:lin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  <w:r/>
          </w:p>
          <w:p>
            <w:pPr>
              <w:jc w:val="center"/>
              <w:spacing w:lineRule="atLeast" w:lin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25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0,00</w:t>
            </w:r>
            <w:r/>
          </w:p>
        </w:tc>
        <w:tc>
          <w:tcPr>
            <w:tcW w:w="2190" w:type="dxa"/>
            <w:textDirection w:val="lrTb"/>
            <w:noWrap w:val="false"/>
          </w:tcPr>
          <w:p>
            <w:pPr>
              <w:jc w:val="center"/>
              <w:spacing w:lineRule="atLeast" w:lin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  <w:r/>
          </w:p>
          <w:p>
            <w:pPr>
              <w:jc w:val="center"/>
              <w:spacing w:lineRule="atLeast" w:lin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  <w:r/>
          </w:p>
          <w:p>
            <w:pPr>
              <w:jc w:val="center"/>
              <w:spacing w:lineRule="atLeast" w:lin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  <w:r/>
          </w:p>
          <w:p>
            <w:pPr>
              <w:jc w:val="center"/>
              <w:spacing w:lineRule="atLeast" w:lin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25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0,00</w:t>
            </w:r>
            <w:r/>
          </w:p>
        </w:tc>
        <w:tc>
          <w:tcPr>
            <w:tcW w:w="1995" w:type="dxa"/>
            <w:textDirection w:val="lrTb"/>
            <w:noWrap w:val="false"/>
          </w:tcPr>
          <w:p>
            <w:pPr>
              <w:jc w:val="center"/>
              <w:spacing w:lineRule="atLeast" w:lin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Государственная регистрация права собственности на муниципальные объекты.</w:t>
            </w:r>
            <w:r/>
          </w:p>
        </w:tc>
        <w:tc>
          <w:tcPr>
            <w:tcW w:w="1740" w:type="dxa"/>
            <w:vMerge w:val="restart"/>
            <w:textDirection w:val="lrTb"/>
            <w:noWrap w:val="false"/>
          </w:tcPr>
          <w:p>
            <w:pPr>
              <w:jc w:val="center"/>
              <w:spacing w:lineRule="atLeast" w:lin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  <w:r/>
          </w:p>
          <w:p>
            <w:pPr>
              <w:jc w:val="center"/>
              <w:spacing w:lineRule="atLeast" w:lin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  <w:r/>
          </w:p>
          <w:p>
            <w:pPr>
              <w:jc w:val="center"/>
              <w:spacing w:lineRule="atLeast" w:lin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  <w:r/>
          </w:p>
          <w:p>
            <w:pPr>
              <w:jc w:val="center"/>
              <w:spacing w:lineRule="atLeast" w:lin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  <w:r/>
          </w:p>
          <w:p>
            <w:pPr>
              <w:jc w:val="center"/>
              <w:spacing w:lineRule="atLeast" w:lin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  <w:r/>
          </w:p>
          <w:p>
            <w:pPr>
              <w:jc w:val="center"/>
              <w:spacing w:lineRule="atLeast" w:lin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  <w:r/>
          </w:p>
          <w:p>
            <w:pPr>
              <w:jc w:val="center"/>
              <w:spacing w:lineRule="atLeast" w:lin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  <w:r/>
          </w:p>
          <w:p>
            <w:pPr>
              <w:jc w:val="center"/>
              <w:spacing w:lineRule="atLeast" w:lin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  <w:r/>
          </w:p>
          <w:p>
            <w:pPr>
              <w:jc w:val="center"/>
              <w:spacing w:lineRule="atLeast" w:lin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  <w:r/>
          </w:p>
          <w:p>
            <w:pPr>
              <w:jc w:val="center"/>
              <w:spacing w:lineRule="atLeast" w:lin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  <w:r/>
          </w:p>
          <w:p>
            <w:pPr>
              <w:jc w:val="center"/>
              <w:spacing w:lineRule="atLeast" w:lin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  <w:r/>
          </w:p>
          <w:p>
            <w:pPr>
              <w:jc w:val="center"/>
              <w:spacing w:lineRule="atLeast" w:lin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  <w:r/>
          </w:p>
          <w:p>
            <w:pPr>
              <w:jc w:val="center"/>
              <w:spacing w:lineRule="atLeast" w:lin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  <w:r/>
          </w:p>
          <w:p>
            <w:pPr>
              <w:jc w:val="center"/>
              <w:spacing w:lineRule="atLeast" w:lin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  <w:r/>
          </w:p>
          <w:p>
            <w:pPr>
              <w:jc w:val="center"/>
              <w:spacing w:lineRule="atLeast" w:lin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  <w:r/>
          </w:p>
          <w:p>
            <w:pPr>
              <w:jc w:val="center"/>
              <w:spacing w:lineRule="atLeast" w:lin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  <w:r/>
          </w:p>
          <w:p>
            <w:pPr>
              <w:jc w:val="center"/>
              <w:spacing w:lineRule="atLeast" w:lin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  <w:r/>
          </w:p>
          <w:p>
            <w:pPr>
              <w:jc w:val="center"/>
              <w:spacing w:lineRule="atLeast" w:lin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  <w:r/>
          </w:p>
          <w:p>
            <w:pPr>
              <w:jc w:val="center"/>
              <w:spacing w:lineRule="atLeast" w:lin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Анминистрация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Стойбинского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сельсовета</w:t>
            </w:r>
            <w:r/>
          </w:p>
        </w:tc>
      </w:tr>
      <w:tr>
        <w:trPr>
          <w:trHeight w:val="1005"/>
        </w:trPr>
        <w:tc>
          <w:tcPr>
            <w:tcW w:w="459" w:type="dxa"/>
            <w:textDirection w:val="lrTb"/>
            <w:noWrap w:val="false"/>
          </w:tcPr>
          <w:p>
            <w:pPr>
              <w:jc w:val="center"/>
              <w:spacing w:lineRule="atLeast" w:lin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</w:t>
            </w:r>
            <w:r/>
          </w:p>
        </w:tc>
        <w:tc>
          <w:tcPr>
            <w:tcW w:w="3135" w:type="dxa"/>
            <w:textDirection w:val="lrTb"/>
            <w:noWrap w:val="false"/>
          </w:tcPr>
          <w:p>
            <w:pPr>
              <w:jc w:val="center"/>
              <w:spacing w:lineRule="atLeast" w:lin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Оценка рыночной стоимости имущества</w:t>
            </w:r>
            <w:r/>
          </w:p>
        </w:tc>
        <w:tc>
          <w:tcPr>
            <w:tcW w:w="1620" w:type="dxa"/>
            <w:vMerge w:val="continue"/>
            <w:textDirection w:val="lrTb"/>
            <w:noWrap w:val="false"/>
          </w:tcPr>
          <w:p>
            <w:pPr>
              <w:jc w:val="center"/>
              <w:spacing w:lineRule="atLeast" w:lin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  <w:r/>
          </w:p>
        </w:tc>
        <w:tc>
          <w:tcPr>
            <w:tcW w:w="1320" w:type="dxa"/>
            <w:textDirection w:val="lrTb"/>
            <w:noWrap w:val="false"/>
          </w:tcPr>
          <w:p>
            <w:pPr>
              <w:jc w:val="center"/>
              <w:spacing w:lineRule="atLeast" w:lin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  <w:r/>
          </w:p>
          <w:p>
            <w:pPr>
              <w:jc w:val="center"/>
              <w:spacing w:lineRule="atLeast" w:lin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  <w:r/>
          </w:p>
          <w:p>
            <w:pPr>
              <w:jc w:val="center"/>
              <w:spacing w:lineRule="atLeast" w:line="0" w:after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300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,0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0</w:t>
            </w:r>
            <w:r/>
          </w:p>
        </w:tc>
        <w:tc>
          <w:tcPr>
            <w:tcW w:w="1620" w:type="dxa"/>
            <w:textDirection w:val="lrTb"/>
            <w:noWrap w:val="false"/>
          </w:tcPr>
          <w:p>
            <w:pPr>
              <w:jc w:val="center"/>
              <w:spacing w:lineRule="atLeast" w:lin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  <w:r/>
          </w:p>
          <w:p>
            <w:pPr>
              <w:jc w:val="center"/>
              <w:spacing w:lineRule="atLeast" w:lin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  <w:r/>
          </w:p>
          <w:p>
            <w:pPr>
              <w:jc w:val="center"/>
              <w:spacing w:lineRule="atLeast" w:line="0" w:after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100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,0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0</w:t>
            </w:r>
            <w:r/>
          </w:p>
        </w:tc>
        <w:tc>
          <w:tcPr>
            <w:tcW w:w="2040" w:type="dxa"/>
            <w:textDirection w:val="lrTb"/>
            <w:noWrap w:val="false"/>
          </w:tcPr>
          <w:p>
            <w:pPr>
              <w:jc w:val="center"/>
              <w:spacing w:lineRule="atLeast" w:lin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  <w:r/>
          </w:p>
          <w:p>
            <w:pPr>
              <w:jc w:val="center"/>
              <w:spacing w:lineRule="atLeast" w:lin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  <w:r/>
          </w:p>
          <w:p>
            <w:pPr>
              <w:jc w:val="center"/>
              <w:spacing w:lineRule="atLeast" w:lin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100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,0</w:t>
            </w:r>
            <w:r/>
          </w:p>
        </w:tc>
        <w:tc>
          <w:tcPr>
            <w:tcW w:w="2190" w:type="dxa"/>
            <w:textDirection w:val="lrTb"/>
            <w:noWrap w:val="false"/>
          </w:tcPr>
          <w:p>
            <w:pPr>
              <w:jc w:val="center"/>
              <w:spacing w:lineRule="atLeast" w:lin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  <w:r/>
          </w:p>
          <w:p>
            <w:pPr>
              <w:jc w:val="center"/>
              <w:spacing w:lineRule="atLeast" w:lin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  <w:r/>
          </w:p>
          <w:p>
            <w:pPr>
              <w:jc w:val="center"/>
              <w:spacing w:lineRule="atLeast" w:lin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100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,0</w:t>
            </w:r>
            <w:r/>
          </w:p>
        </w:tc>
        <w:tc>
          <w:tcPr>
            <w:tcW w:w="1995" w:type="dxa"/>
            <w:textDirection w:val="lrTb"/>
            <w:noWrap w:val="false"/>
          </w:tcPr>
          <w:p>
            <w:pPr>
              <w:jc w:val="center"/>
              <w:spacing w:lineRule="atLeast" w:lin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Продажа неэффективного имущества</w:t>
            </w:r>
            <w:r/>
          </w:p>
        </w:tc>
        <w:tc>
          <w:tcPr>
            <w:tcW w:w="1740" w:type="dxa"/>
            <w:vMerge w:val="continue"/>
            <w:textDirection w:val="lrTb"/>
            <w:noWrap w:val="false"/>
          </w:tcPr>
          <w:p>
            <w:pPr>
              <w:jc w:val="center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</w:tr>
      <w:tr>
        <w:trPr>
          <w:trHeight w:val="1260"/>
        </w:trPr>
        <w:tc>
          <w:tcPr>
            <w:tcW w:w="459" w:type="dxa"/>
            <w:textDirection w:val="lrTb"/>
            <w:noWrap w:val="false"/>
          </w:tcPr>
          <w:p>
            <w:pPr>
              <w:jc w:val="center"/>
              <w:spacing w:lineRule="atLeast" w:lin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3</w:t>
            </w:r>
            <w:r/>
          </w:p>
        </w:tc>
        <w:tc>
          <w:tcPr>
            <w:tcW w:w="3135" w:type="dxa"/>
            <w:textDirection w:val="lrTb"/>
            <w:noWrap w:val="false"/>
          </w:tcPr>
          <w:p>
            <w:pPr>
              <w:jc w:val="center"/>
              <w:spacing w:lineRule="atLeast" w:lin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Определение рыночной обоснованности арендной платы за объекты аренды, являющихся собственностью муниципального образования с. Стойба</w:t>
            </w:r>
            <w:r/>
          </w:p>
        </w:tc>
        <w:tc>
          <w:tcPr>
            <w:tcW w:w="1620" w:type="dxa"/>
            <w:vMerge w:val="continue"/>
            <w:textDirection w:val="lrTb"/>
            <w:noWrap w:val="false"/>
          </w:tcPr>
          <w:p>
            <w:pPr>
              <w:jc w:val="center"/>
              <w:spacing w:lineRule="atLeast" w:lin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  <w:r/>
          </w:p>
        </w:tc>
        <w:tc>
          <w:tcPr>
            <w:tcW w:w="1320" w:type="dxa"/>
            <w:textDirection w:val="lrTb"/>
            <w:noWrap w:val="false"/>
          </w:tcPr>
          <w:p>
            <w:pPr>
              <w:jc w:val="center"/>
              <w:spacing w:lineRule="atLeast" w:lin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  <w:r/>
          </w:p>
          <w:p>
            <w:pPr>
              <w:jc w:val="center"/>
              <w:spacing w:lineRule="atLeast" w:lin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  <w:r/>
          </w:p>
          <w:p>
            <w:pPr>
              <w:jc w:val="center"/>
              <w:spacing w:lineRule="atLeast" w:lin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30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0,00</w:t>
            </w:r>
            <w:r/>
          </w:p>
        </w:tc>
        <w:tc>
          <w:tcPr>
            <w:tcW w:w="1620" w:type="dxa"/>
            <w:textDirection w:val="lrTb"/>
            <w:noWrap w:val="false"/>
          </w:tcPr>
          <w:p>
            <w:pPr>
              <w:jc w:val="center"/>
              <w:spacing w:lineRule="atLeast" w:lin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  <w:r/>
          </w:p>
          <w:p>
            <w:pPr>
              <w:jc w:val="center"/>
              <w:spacing w:lineRule="atLeast" w:lin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  <w:r/>
          </w:p>
          <w:p>
            <w:pPr>
              <w:jc w:val="center"/>
              <w:spacing w:lineRule="atLeast" w:lin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0,00</w:t>
            </w:r>
            <w:r/>
          </w:p>
        </w:tc>
        <w:tc>
          <w:tcPr>
            <w:tcW w:w="2040" w:type="dxa"/>
            <w:textDirection w:val="lrTb"/>
            <w:noWrap w:val="false"/>
          </w:tcPr>
          <w:p>
            <w:pPr>
              <w:jc w:val="center"/>
              <w:spacing w:lineRule="atLeast" w:lin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  <w:r/>
          </w:p>
          <w:p>
            <w:pPr>
              <w:jc w:val="center"/>
              <w:spacing w:lineRule="atLeast" w:lin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  <w:r/>
          </w:p>
          <w:p>
            <w:pPr>
              <w:jc w:val="center"/>
              <w:spacing w:lineRule="atLeast" w:lin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0,00</w:t>
            </w:r>
            <w:r/>
          </w:p>
        </w:tc>
        <w:tc>
          <w:tcPr>
            <w:tcW w:w="2190" w:type="dxa"/>
            <w:textDirection w:val="lrTb"/>
            <w:noWrap w:val="false"/>
          </w:tcPr>
          <w:p>
            <w:pPr>
              <w:jc w:val="center"/>
              <w:spacing w:lineRule="atLeast" w:lin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  <w:r/>
          </w:p>
          <w:p>
            <w:pPr>
              <w:jc w:val="center"/>
              <w:spacing w:lineRule="atLeast" w:lin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  <w:r/>
          </w:p>
          <w:p>
            <w:pPr>
              <w:jc w:val="center"/>
              <w:spacing w:lineRule="atLeast" w:lin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0,00</w:t>
            </w:r>
            <w:r/>
          </w:p>
        </w:tc>
        <w:tc>
          <w:tcPr>
            <w:tcW w:w="1995" w:type="dxa"/>
            <w:textDirection w:val="lrTb"/>
            <w:noWrap w:val="false"/>
          </w:tcPr>
          <w:p>
            <w:pPr>
              <w:jc w:val="center"/>
              <w:spacing w:lineRule="atLeast" w:lin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Передача муниципального имущества в аренду на конкурсной основе</w:t>
            </w:r>
            <w:r/>
          </w:p>
        </w:tc>
        <w:tc>
          <w:tcPr>
            <w:tcW w:w="1740" w:type="dxa"/>
            <w:vMerge w:val="continue"/>
            <w:textDirection w:val="lrTb"/>
            <w:noWrap w:val="false"/>
          </w:tcPr>
          <w:p>
            <w:pPr>
              <w:jc w:val="center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</w:tr>
      <w:tr>
        <w:trPr>
          <w:trHeight w:val="1395"/>
        </w:trPr>
        <w:tc>
          <w:tcPr>
            <w:tcW w:w="459" w:type="dxa"/>
            <w:textDirection w:val="lrTb"/>
            <w:noWrap w:val="false"/>
          </w:tcPr>
          <w:p>
            <w:pPr>
              <w:jc w:val="center"/>
              <w:spacing w:lineRule="atLeast" w:lin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4</w:t>
            </w:r>
            <w:r/>
          </w:p>
        </w:tc>
        <w:tc>
          <w:tcPr>
            <w:tcW w:w="3135" w:type="dxa"/>
            <w:textDirection w:val="lrTb"/>
            <w:noWrap w:val="false"/>
          </w:tcPr>
          <w:p>
            <w:pPr>
              <w:jc w:val="center"/>
              <w:spacing w:lineRule="atLeast" w:lin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Оказание юридических услуг в сфере имущественных и земельных отношений</w:t>
            </w:r>
            <w:r/>
          </w:p>
        </w:tc>
        <w:tc>
          <w:tcPr>
            <w:tcW w:w="1620" w:type="dxa"/>
            <w:vMerge w:val="continue"/>
            <w:textDirection w:val="lrTb"/>
            <w:noWrap w:val="false"/>
          </w:tcPr>
          <w:p>
            <w:pPr>
              <w:jc w:val="center"/>
              <w:spacing w:lineRule="atLeast" w:lin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  <w:r/>
          </w:p>
        </w:tc>
        <w:tc>
          <w:tcPr>
            <w:tcW w:w="1320" w:type="dxa"/>
            <w:textDirection w:val="lrTb"/>
            <w:noWrap w:val="false"/>
          </w:tcPr>
          <w:p>
            <w:pPr>
              <w:jc w:val="center"/>
              <w:spacing w:lineRule="atLeast" w:lin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  <w:r/>
          </w:p>
          <w:p>
            <w:pPr>
              <w:jc w:val="center"/>
              <w:spacing w:lineRule="atLeast" w:lin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  <w:r/>
          </w:p>
          <w:p>
            <w:pPr>
              <w:jc w:val="center"/>
              <w:spacing w:lineRule="atLeast" w:line="0" w:after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150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,0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0</w:t>
            </w:r>
            <w:r/>
          </w:p>
        </w:tc>
        <w:tc>
          <w:tcPr>
            <w:tcW w:w="1620" w:type="dxa"/>
            <w:textDirection w:val="lrTb"/>
            <w:noWrap w:val="false"/>
          </w:tcPr>
          <w:p>
            <w:pPr>
              <w:jc w:val="center"/>
              <w:spacing w:lineRule="atLeast" w:lin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  <w:r/>
          </w:p>
          <w:p>
            <w:pPr>
              <w:jc w:val="center"/>
              <w:spacing w:lineRule="atLeast" w:lin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  <w:r/>
          </w:p>
          <w:p>
            <w:pPr>
              <w:jc w:val="center"/>
              <w:spacing w:lineRule="atLeast" w:line="0" w:after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50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,0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0</w:t>
            </w:r>
            <w:r/>
          </w:p>
        </w:tc>
        <w:tc>
          <w:tcPr>
            <w:tcW w:w="2040" w:type="dxa"/>
            <w:textDirection w:val="lrTb"/>
            <w:noWrap w:val="false"/>
          </w:tcPr>
          <w:p>
            <w:pPr>
              <w:jc w:val="center"/>
              <w:spacing w:lineRule="atLeast" w:lin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  <w:r/>
          </w:p>
          <w:p>
            <w:pPr>
              <w:jc w:val="center"/>
              <w:spacing w:lineRule="atLeast" w:lin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  <w:r/>
          </w:p>
          <w:p>
            <w:pPr>
              <w:jc w:val="center"/>
              <w:spacing w:lineRule="atLeast" w:line="0" w:after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5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0,0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0</w:t>
            </w:r>
            <w:r/>
          </w:p>
        </w:tc>
        <w:tc>
          <w:tcPr>
            <w:tcW w:w="2190" w:type="dxa"/>
            <w:textDirection w:val="lrTb"/>
            <w:noWrap w:val="false"/>
          </w:tcPr>
          <w:p>
            <w:pPr>
              <w:jc w:val="center"/>
              <w:spacing w:lineRule="atLeast" w:lin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  <w:r/>
          </w:p>
          <w:p>
            <w:pPr>
              <w:jc w:val="center"/>
              <w:spacing w:lineRule="atLeast" w:lin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  <w:r/>
          </w:p>
          <w:p>
            <w:pPr>
              <w:jc w:val="center"/>
              <w:spacing w:lineRule="atLeast" w:line="0" w:after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5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0,0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0</w:t>
            </w:r>
            <w:r/>
          </w:p>
        </w:tc>
        <w:tc>
          <w:tcPr>
            <w:tcW w:w="1995" w:type="dxa"/>
            <w:textDirection w:val="lrTb"/>
            <w:noWrap w:val="false"/>
          </w:tcPr>
          <w:p>
            <w:pPr>
              <w:jc w:val="center"/>
              <w:spacing w:lineRule="atLeast" w:lin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Эффективное управление имуществом, повышение доходной части бюджета</w:t>
            </w:r>
            <w:r/>
          </w:p>
        </w:tc>
        <w:tc>
          <w:tcPr>
            <w:tcW w:w="1740" w:type="dxa"/>
            <w:vMerge w:val="continue"/>
            <w:textDirection w:val="lrTb"/>
            <w:noWrap w:val="false"/>
          </w:tcPr>
          <w:p>
            <w:pPr>
              <w:jc w:val="center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</w:tr>
      <w:tr>
        <w:trPr>
          <w:trHeight w:val="1395"/>
        </w:trPr>
        <w:tc>
          <w:tcPr>
            <w:tcW w:w="459" w:type="dxa"/>
            <w:textDirection w:val="lrTb"/>
            <w:noWrap w:val="false"/>
          </w:tcPr>
          <w:p>
            <w:pPr>
              <w:jc w:val="center"/>
              <w:spacing w:lineRule="atLeast" w:lin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5.</w:t>
            </w:r>
            <w:r/>
          </w:p>
        </w:tc>
        <w:tc>
          <w:tcPr>
            <w:tcW w:w="3135" w:type="dxa"/>
            <w:textDirection w:val="lrTb"/>
            <w:noWrap w:val="false"/>
          </w:tcPr>
          <w:p>
            <w:pPr>
              <w:jc w:val="center"/>
              <w:spacing w:lineRule="atLeast" w:lin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Оформление технической документации на движимое муниципальное имущество. </w:t>
            </w:r>
            <w:r/>
          </w:p>
        </w:tc>
        <w:tc>
          <w:tcPr>
            <w:tcW w:w="1620" w:type="dxa"/>
            <w:vMerge w:val="continue"/>
            <w:textDirection w:val="lrTb"/>
            <w:noWrap w:val="false"/>
          </w:tcPr>
          <w:p>
            <w:pPr>
              <w:jc w:val="center"/>
              <w:spacing w:lineRule="atLeast" w:lin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  <w:r/>
          </w:p>
        </w:tc>
        <w:tc>
          <w:tcPr>
            <w:tcW w:w="1320" w:type="dxa"/>
            <w:textDirection w:val="lrTb"/>
            <w:noWrap w:val="false"/>
          </w:tcPr>
          <w:p>
            <w:pPr>
              <w:jc w:val="center"/>
              <w:spacing w:lineRule="atLeast" w:lin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  <w:r/>
          </w:p>
          <w:p>
            <w:pPr>
              <w:jc w:val="center"/>
              <w:spacing w:lineRule="atLeast" w:lin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  <w:r/>
          </w:p>
          <w:p>
            <w:pPr>
              <w:jc w:val="center"/>
              <w:spacing w:lineRule="atLeast" w:lin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3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50,00</w:t>
            </w:r>
            <w:r/>
          </w:p>
        </w:tc>
        <w:tc>
          <w:tcPr>
            <w:tcW w:w="1620" w:type="dxa"/>
            <w:textDirection w:val="lrTb"/>
            <w:noWrap w:val="false"/>
          </w:tcPr>
          <w:p>
            <w:pPr>
              <w:jc w:val="center"/>
              <w:spacing w:lineRule="atLeast" w:lin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  <w:r/>
          </w:p>
          <w:p>
            <w:pPr>
              <w:jc w:val="center"/>
              <w:spacing w:lineRule="atLeast" w:lin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  <w:r/>
          </w:p>
          <w:p>
            <w:pPr>
              <w:jc w:val="center"/>
              <w:spacing w:lineRule="atLeast" w:lin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150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00</w:t>
            </w:r>
            <w:r/>
          </w:p>
        </w:tc>
        <w:tc>
          <w:tcPr>
            <w:tcW w:w="2040" w:type="dxa"/>
            <w:textDirection w:val="lrTb"/>
            <w:noWrap w:val="false"/>
          </w:tcPr>
          <w:p>
            <w:pPr>
              <w:jc w:val="center"/>
              <w:spacing w:lineRule="atLeast" w:lin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  <w:r/>
          </w:p>
          <w:p>
            <w:pPr>
              <w:jc w:val="center"/>
              <w:spacing w:lineRule="atLeast" w:lin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  <w:r/>
          </w:p>
          <w:p>
            <w:pPr>
              <w:jc w:val="center"/>
              <w:spacing w:lineRule="atLeast" w:line="0" w:after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0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,00</w:t>
            </w:r>
            <w:r/>
          </w:p>
        </w:tc>
        <w:tc>
          <w:tcPr>
            <w:tcW w:w="2190" w:type="dxa"/>
            <w:textDirection w:val="lrTb"/>
            <w:noWrap w:val="false"/>
          </w:tcPr>
          <w:p>
            <w:pPr>
              <w:jc w:val="center"/>
              <w:spacing w:lineRule="atLeast" w:lin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  <w:r/>
          </w:p>
          <w:p>
            <w:pPr>
              <w:jc w:val="center"/>
              <w:spacing w:lineRule="atLeast" w:lin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  <w:r/>
          </w:p>
          <w:p>
            <w:pPr>
              <w:jc w:val="center"/>
              <w:spacing w:lineRule="atLeast" w:line="0" w:after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10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0,00</w:t>
            </w:r>
            <w:r/>
          </w:p>
        </w:tc>
        <w:tc>
          <w:tcPr>
            <w:tcW w:w="1995" w:type="dxa"/>
            <w:textDirection w:val="lrTb"/>
            <w:noWrap w:val="false"/>
          </w:tcPr>
          <w:p>
            <w:pPr>
              <w:jc w:val="center"/>
              <w:spacing w:lineRule="atLeast" w:lin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  <w:r/>
          </w:p>
        </w:tc>
        <w:tc>
          <w:tcPr>
            <w:tcW w:w="1740" w:type="dxa"/>
            <w:vMerge w:val="continue"/>
            <w:textDirection w:val="lrTb"/>
            <w:noWrap w:val="false"/>
          </w:tcPr>
          <w:p>
            <w:pPr>
              <w:jc w:val="center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</w:tr>
      <w:tr>
        <w:trPr>
          <w:trHeight w:val="495"/>
        </w:trPr>
        <w:tc>
          <w:tcPr>
            <w:tcW w:w="459" w:type="dxa"/>
            <w:textDirection w:val="lrTb"/>
            <w:noWrap w:val="false"/>
          </w:tcPr>
          <w:p>
            <w:pPr>
              <w:jc w:val="center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gridSpan w:val="2"/>
            <w:tcW w:w="4755" w:type="dxa"/>
            <w:textDirection w:val="lrTb"/>
            <w:noWrap w:val="false"/>
          </w:tcPr>
          <w:p>
            <w:pPr>
              <w:jc w:val="center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Итого:</w:t>
            </w:r>
            <w:r/>
          </w:p>
        </w:tc>
        <w:tc>
          <w:tcPr>
            <w:tcW w:w="1320" w:type="dxa"/>
            <w:textDirection w:val="lrTb"/>
            <w:noWrap w:val="false"/>
          </w:tcPr>
          <w:p>
            <w:pPr>
              <w:jc w:val="center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1 </w:t>
            </w:r>
            <w:r>
              <w:rPr>
                <w:rFonts w:ascii="Times New Roman" w:hAnsi="Times New Roman"/>
              </w:rPr>
              <w:t xml:space="preserve">85</w:t>
            </w:r>
            <w:r>
              <w:rPr>
                <w:rFonts w:ascii="Times New Roman" w:hAnsi="Times New Roman"/>
              </w:rPr>
              <w:t xml:space="preserve">0,0</w:t>
            </w:r>
            <w:r/>
          </w:p>
        </w:tc>
        <w:tc>
          <w:tcPr>
            <w:tcW w:w="1620" w:type="dxa"/>
            <w:textDirection w:val="lrTb"/>
            <w:noWrap w:val="false"/>
          </w:tcPr>
          <w:p>
            <w:pPr>
              <w:jc w:val="center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</w:t>
            </w:r>
            <w:r>
              <w:rPr>
                <w:rFonts w:ascii="Times New Roman" w:hAnsi="Times New Roman"/>
              </w:rPr>
              <w:t xml:space="preserve">5</w:t>
            </w:r>
            <w:r>
              <w:rPr>
                <w:rFonts w:ascii="Times New Roman" w:hAnsi="Times New Roman"/>
              </w:rPr>
              <w:t xml:space="preserve">0,0</w:t>
            </w:r>
            <w:r/>
          </w:p>
        </w:tc>
        <w:tc>
          <w:tcPr>
            <w:tcW w:w="2040" w:type="dxa"/>
            <w:textDirection w:val="lrTb"/>
            <w:noWrap w:val="false"/>
          </w:tcPr>
          <w:p>
            <w:pPr>
              <w:jc w:val="center"/>
              <w:spacing w:lineRule="atLeast" w:line="0" w:after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6</w:t>
            </w:r>
            <w:r>
              <w:rPr>
                <w:rFonts w:ascii="Times New Roman" w:hAnsi="Times New Roman"/>
              </w:rPr>
              <w:t xml:space="preserve">00,0</w:t>
            </w:r>
            <w:r>
              <w:rPr>
                <w:rFonts w:ascii="Times New Roman" w:hAnsi="Times New Roman"/>
                <w:lang w:val="en-US"/>
              </w:rPr>
              <w:t xml:space="preserve">0</w:t>
            </w:r>
            <w:r/>
          </w:p>
        </w:tc>
        <w:tc>
          <w:tcPr>
            <w:tcW w:w="2190" w:type="dxa"/>
            <w:textDirection w:val="lrTb"/>
            <w:noWrap w:val="false"/>
          </w:tcPr>
          <w:p>
            <w:pPr>
              <w:jc w:val="center"/>
              <w:spacing w:lineRule="atLeast" w:line="0" w:after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6</w:t>
            </w:r>
            <w:r>
              <w:rPr>
                <w:rFonts w:ascii="Times New Roman" w:hAnsi="Times New Roman"/>
              </w:rPr>
              <w:t xml:space="preserve">00,0</w:t>
            </w:r>
            <w:r>
              <w:rPr>
                <w:rFonts w:ascii="Times New Roman" w:hAnsi="Times New Roman"/>
                <w:lang w:val="en-US"/>
              </w:rPr>
              <w:t xml:space="preserve">0</w:t>
            </w:r>
            <w:r/>
          </w:p>
        </w:tc>
        <w:tc>
          <w:tcPr>
            <w:tcW w:w="1995" w:type="dxa"/>
            <w:textDirection w:val="lrTb"/>
            <w:noWrap w:val="false"/>
          </w:tcPr>
          <w:p>
            <w:pPr>
              <w:jc w:val="center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tcW w:w="1740" w:type="dxa"/>
            <w:vMerge w:val="continue"/>
            <w:textDirection w:val="lrTb"/>
            <w:noWrap w:val="false"/>
          </w:tcPr>
          <w:p>
            <w:pPr>
              <w:jc w:val="center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</w:tr>
    </w:tbl>
    <w:p>
      <w:pPr>
        <w:jc w:val="center"/>
        <w:spacing w:lineRule="atLeast" w:lin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sectPr>
      <w:footnotePr/>
      <w:endnotePr/>
      <w:type w:val="nextPage"/>
      <w:pgSz w:w="16838" w:h="11906" w:orient="landscape"/>
      <w:pgMar w:top="426" w:right="567" w:bottom="284" w:left="1134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</w:font>
  <w:font w:name="Courier New">
    <w:panose1 w:val="02070309020205020404"/>
  </w:font>
  <w:font w:name="Symbol">
    <w:panose1 w:val="05050102010706020507"/>
  </w:font>
  <w:font w:name="Segoe UI">
    <w:panose1 w:val="020B0502040204020203"/>
  </w:font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suff w:val="tab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suff w:val="tab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suff w:val="tab"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suff w:val="tab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614"/>
    <w:link w:val="611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614"/>
    <w:link w:val="612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614"/>
    <w:link w:val="613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10"/>
    <w:next w:val="610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614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10"/>
    <w:next w:val="610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614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10"/>
    <w:next w:val="610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614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10"/>
    <w:next w:val="610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614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10"/>
    <w:next w:val="610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614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10"/>
    <w:next w:val="610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614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2">
    <w:name w:val="Title"/>
    <w:basedOn w:val="610"/>
    <w:next w:val="610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614"/>
    <w:link w:val="32"/>
    <w:uiPriority w:val="10"/>
    <w:rPr>
      <w:sz w:val="48"/>
      <w:szCs w:val="48"/>
    </w:rPr>
  </w:style>
  <w:style w:type="paragraph" w:styleId="34">
    <w:name w:val="Subtitle"/>
    <w:basedOn w:val="610"/>
    <w:next w:val="610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614"/>
    <w:link w:val="34"/>
    <w:uiPriority w:val="11"/>
    <w:rPr>
      <w:sz w:val="24"/>
      <w:szCs w:val="24"/>
    </w:rPr>
  </w:style>
  <w:style w:type="paragraph" w:styleId="36">
    <w:name w:val="Quote"/>
    <w:basedOn w:val="610"/>
    <w:next w:val="610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10"/>
    <w:next w:val="610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610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614"/>
    <w:link w:val="40"/>
    <w:uiPriority w:val="99"/>
  </w:style>
  <w:style w:type="paragraph" w:styleId="42">
    <w:name w:val="Footer"/>
    <w:basedOn w:val="610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614"/>
    <w:link w:val="42"/>
    <w:uiPriority w:val="99"/>
  </w:style>
  <w:style w:type="paragraph" w:styleId="44">
    <w:name w:val="Caption"/>
    <w:basedOn w:val="610"/>
    <w:next w:val="610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7">
    <w:name w:val="Table Grid Light"/>
    <w:basedOn w:val="615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15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15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1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1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1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6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6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6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6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6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6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6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6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6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6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6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6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6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6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61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61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FillTint="EA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61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61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FE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61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61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61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6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text1" w:themeFillTint="40" w:themeColor="text1" w:themeTint="40"/>
    </w:tblPr>
    <w:tblStylePr w:type="band1Horz">
      <w:tcPr>
        <w:shd w:val="clear" w:color="FFFFFF" w:themeFill="text1" w:themeFillTint="75" w:themeColor="text1" w:themeTint="75"/>
      </w:tcPr>
    </w:tblStylePr>
    <w:tblStylePr w:type="band1Vert">
      <w:tcPr>
        <w:shd w:val="clear" w:color="FFFFFF" w:themeFill="text1" w:themeFillTint="75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6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1" w:themeFillTint="34" w:themeColor="accent1" w:themeTint="34"/>
    </w:tblPr>
    <w:tblStylePr w:type="band1Horz">
      <w:tcPr>
        <w:shd w:val="clear" w:color="FFFFFF" w:themeFill="accent1" w:themeFillTint="75" w:themeColor="accent1" w:themeTint="75"/>
      </w:tcPr>
    </w:tblStylePr>
    <w:tblStylePr w:type="band1Vert">
      <w:tcPr>
        <w:shd w:val="clear" w:color="FFFFFF" w:themeFill="accent1" w:themeFillTint="75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1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6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2" w:themeFillTint="32" w:themeColor="accent2" w:themeTint="32"/>
    </w:tblPr>
    <w:tblStylePr w:type="band1Horz">
      <w:tcPr>
        <w:shd w:val="clear" w:color="FFFFFF" w:themeFill="accent2" w:themeFillTint="75" w:themeColor="accent2" w:themeTint="75"/>
      </w:tcPr>
    </w:tblStylePr>
    <w:tblStylePr w:type="band1Vert">
      <w:tcPr>
        <w:shd w:val="clear" w:color="FFFFFF" w:themeFill="accent2" w:themeFillTint="75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2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6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3" w:themeFillTint="34" w:themeColor="accent3" w:themeTint="34"/>
    </w:tblPr>
    <w:tblStylePr w:type="band1Horz">
      <w:tcPr>
        <w:shd w:val="clear" w:color="FFFFFF" w:themeFill="accent3" w:themeFillTint="75" w:themeColor="accent3" w:themeTint="75"/>
      </w:tcPr>
    </w:tblStylePr>
    <w:tblStylePr w:type="band1Vert">
      <w:tcPr>
        <w:shd w:val="clear" w:color="FFFFFF" w:themeFill="accent3" w:themeFillTint="75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3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6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4" w:themeFillTint="34" w:themeColor="accent4" w:themeTint="34"/>
    </w:tblPr>
    <w:tblStylePr w:type="band1Horz">
      <w:tcPr>
        <w:shd w:val="clear" w:color="FFFFFF" w:themeFill="accent4" w:themeFillTint="75" w:themeColor="accent4" w:themeTint="75"/>
      </w:tcPr>
    </w:tblStylePr>
    <w:tblStylePr w:type="band1Vert">
      <w:tcPr>
        <w:shd w:val="clear" w:color="FFFFFF" w:themeFill="accent4" w:themeFillTint="75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4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6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5" w:themeFillTint="34" w:themeColor="accent5" w:themeTint="34"/>
    </w:tblPr>
    <w:tblStylePr w:type="band1Horz">
      <w:tcPr>
        <w:shd w:val="clear" w:color="FFFFFF" w:themeFill="accent5" w:themeFillTint="75" w:themeColor="accent5" w:themeTint="75"/>
      </w:tcPr>
    </w:tblStylePr>
    <w:tblStylePr w:type="band1Vert">
      <w:tcPr>
        <w:shd w:val="clear" w:color="FFFFFF" w:themeFill="accent5" w:themeFillTint="75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6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6" w:themeFillTint="34" w:themeColor="accent6" w:themeTint="34"/>
    </w:tblPr>
    <w:tblStylePr w:type="band1Horz">
      <w:tcPr>
        <w:shd w:val="clear" w:color="FFFFFF" w:themeFill="accent6" w:themeFillTint="75" w:themeColor="accent6" w:themeTint="75"/>
      </w:tcPr>
    </w:tblStylePr>
    <w:tblStylePr w:type="band1Vert">
      <w:tcPr>
        <w:shd w:val="clear" w:color="FFFFFF" w:themeFill="accent6" w:themeFillTint="75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6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Fill="text1" w:themeFillTint="34" w:themeColor="text1" w:themeTint="34"/>
      </w:tcPr>
    </w:tblStylePr>
    <w:tblStylePr w:type="band1Vert">
      <w:tcPr>
        <w:shd w:val="clear" w:color="FFFFFF" w:themeFill="text1" w:themeFillTint="34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6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6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6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6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6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6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61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61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61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61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61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61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61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6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6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6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6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6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6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6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6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98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FillTint="9A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FillTint="98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Fill="text1" w:themeFillTint="80" w:themeColor="text1" w:themeTint="80"/>
    </w:tblPr>
    <w:tblStylePr w:type="band1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text1" w:themeFillTint="80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text1" w:themeFillTint="80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Fill="accent1" w:themeColor="accent1"/>
    </w:tblPr>
    <w:tblStylePr w:type="band1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1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1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Fill="accent2" w:themeFillTint="97" w:themeColor="accent2" w:themeTint="97"/>
    </w:tblPr>
    <w:tblStylePr w:type="band1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2" w:themeFillTint="97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2" w:themeFillTint="97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Fill="accent3" w:themeFillTint="98" w:themeColor="accent3" w:themeTint="98"/>
    </w:tblPr>
    <w:tblStylePr w:type="band1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3" w:themeFillTint="98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3" w:themeFillTint="98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Fill="accent4" w:themeFillTint="9A" w:themeColor="accent4" w:themeTint="9A"/>
    </w:tblPr>
    <w:tblStylePr w:type="band1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4" w:themeFillTint="9A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4" w:themeFillTint="9A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Fill="accent5" w:themeFillTint="9A" w:themeColor="accent5" w:themeTint="9A"/>
    </w:tblPr>
    <w:tblStylePr w:type="band1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5" w:themeFillTint="9A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5" w:themeFillTint="9A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Fill="accent6" w:themeFillTint="98" w:themeColor="accent6" w:themeTint="98"/>
    </w:tblPr>
    <w:tblStylePr w:type="band1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6" w:themeFillTint="98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6" w:themeFillTint="98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6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6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6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6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6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6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6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6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6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6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6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6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6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152">
    <w:name w:val="Lined - Accent 1"/>
    <w:basedOn w:val="6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153">
    <w:name w:val="Lined - Accent 2"/>
    <w:basedOn w:val="6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154">
    <w:name w:val="Lined - Accent 3"/>
    <w:basedOn w:val="6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155">
    <w:name w:val="Lined - Accent 4"/>
    <w:basedOn w:val="6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156">
    <w:name w:val="Lined - Accent 5"/>
    <w:basedOn w:val="6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157">
    <w:name w:val="Lined - Accent 6"/>
    <w:basedOn w:val="6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158">
    <w:name w:val="Bordered &amp; Lined - Accent"/>
    <w:basedOn w:val="6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159">
    <w:name w:val="Bordered &amp; Lined - Accent 1"/>
    <w:basedOn w:val="6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160">
    <w:name w:val="Bordered &amp; Lined - Accent 2"/>
    <w:basedOn w:val="6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161">
    <w:name w:val="Bordered &amp; Lined - Accent 3"/>
    <w:basedOn w:val="6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162">
    <w:name w:val="Bordered &amp; Lined - Accent 4"/>
    <w:basedOn w:val="6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163">
    <w:name w:val="Bordered &amp; Lined - Accent 5"/>
    <w:basedOn w:val="6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164">
    <w:name w:val="Bordered &amp; Lined - Accent 6"/>
    <w:basedOn w:val="6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165">
    <w:name w:val="Bordered"/>
    <w:basedOn w:val="6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6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6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6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6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6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6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610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614"/>
    <w:uiPriority w:val="99"/>
    <w:unhideWhenUsed/>
    <w:rPr>
      <w:vertAlign w:val="superscript"/>
    </w:rPr>
  </w:style>
  <w:style w:type="paragraph" w:styleId="176">
    <w:name w:val="endnote text"/>
    <w:basedOn w:val="610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14"/>
    <w:uiPriority w:val="99"/>
    <w:semiHidden/>
    <w:unhideWhenUsed/>
    <w:rPr>
      <w:vertAlign w:val="superscript"/>
    </w:rPr>
  </w:style>
  <w:style w:type="paragraph" w:styleId="179">
    <w:name w:val="toc 1"/>
    <w:basedOn w:val="610"/>
    <w:next w:val="610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10"/>
    <w:next w:val="610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10"/>
    <w:next w:val="610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10"/>
    <w:next w:val="610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10"/>
    <w:next w:val="610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10"/>
    <w:next w:val="610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10"/>
    <w:next w:val="610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10"/>
    <w:next w:val="610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10"/>
    <w:next w:val="610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10"/>
    <w:next w:val="610"/>
    <w:uiPriority w:val="99"/>
    <w:unhideWhenUsed/>
    <w:pPr>
      <w:spacing w:after="0" w:afterAutospacing="0"/>
    </w:pPr>
  </w:style>
  <w:style w:type="paragraph" w:styleId="610" w:default="1">
    <w:name w:val="Normal"/>
    <w:qFormat/>
    <w:rPr>
      <w:rFonts w:ascii="Calibri" w:hAnsi="Calibri" w:cs="Times New Roman" w:eastAsia="Calibri"/>
    </w:rPr>
    <w:pPr>
      <w:spacing w:lineRule="auto" w:line="256" w:after="160"/>
    </w:pPr>
  </w:style>
  <w:style w:type="paragraph" w:styleId="611">
    <w:name w:val="Heading 1"/>
    <w:basedOn w:val="610"/>
    <w:link w:val="617"/>
    <w:qFormat/>
    <w:uiPriority w:val="9"/>
    <w:rPr>
      <w:rFonts w:ascii="Times New Roman" w:hAnsi="Times New Roman" w:eastAsia="Times New Roman"/>
      <w:b/>
      <w:bCs/>
      <w:sz w:val="48"/>
      <w:szCs w:val="48"/>
      <w:lang w:eastAsia="ru-RU"/>
    </w:rPr>
    <w:pPr>
      <w:spacing w:lineRule="auto" w:line="240" w:after="100" w:afterAutospacing="1" w:before="100" w:beforeAutospacing="1"/>
      <w:outlineLvl w:val="0"/>
    </w:pPr>
  </w:style>
  <w:style w:type="paragraph" w:styleId="612">
    <w:name w:val="Heading 2"/>
    <w:basedOn w:val="610"/>
    <w:link w:val="618"/>
    <w:qFormat/>
    <w:uiPriority w:val="9"/>
    <w:rPr>
      <w:rFonts w:ascii="Times New Roman" w:hAnsi="Times New Roman" w:eastAsia="Times New Roman"/>
      <w:b/>
      <w:bCs/>
      <w:sz w:val="36"/>
      <w:szCs w:val="36"/>
      <w:lang w:eastAsia="ru-RU"/>
    </w:rPr>
    <w:pPr>
      <w:spacing w:lineRule="auto" w:line="240" w:after="100" w:afterAutospacing="1" w:before="100" w:beforeAutospacing="1"/>
      <w:outlineLvl w:val="1"/>
    </w:pPr>
  </w:style>
  <w:style w:type="paragraph" w:styleId="613">
    <w:name w:val="Heading 3"/>
    <w:basedOn w:val="610"/>
    <w:next w:val="610"/>
    <w:link w:val="619"/>
    <w:qFormat/>
    <w:uiPriority w:val="9"/>
    <w:unhideWhenUsed/>
    <w:rPr>
      <w:rFonts w:asciiTheme="majorHAnsi" w:hAnsiTheme="majorHAnsi" w:eastAsiaTheme="majorEastAsia" w:cstheme="majorBidi"/>
      <w:b/>
      <w:bCs/>
      <w:color w:val="4F81BD" w:themeColor="accent1"/>
    </w:rPr>
    <w:pPr>
      <w:keepLines/>
      <w:keepNext/>
      <w:spacing w:lineRule="auto" w:line="276" w:after="0" w:before="200"/>
      <w:outlineLvl w:val="2"/>
    </w:pPr>
  </w:style>
  <w:style w:type="character" w:styleId="614" w:default="1">
    <w:name w:val="Default Paragraph Font"/>
    <w:uiPriority w:val="1"/>
    <w:semiHidden/>
    <w:unhideWhenUsed/>
  </w:style>
  <w:style w:type="table" w:styleId="61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16" w:default="1">
    <w:name w:val="No List"/>
    <w:uiPriority w:val="99"/>
    <w:semiHidden/>
    <w:unhideWhenUsed/>
  </w:style>
  <w:style w:type="character" w:styleId="617" w:customStyle="1">
    <w:name w:val="Заголовок 1 Знак"/>
    <w:basedOn w:val="614"/>
    <w:link w:val="611"/>
    <w:uiPriority w:val="9"/>
    <w:rPr>
      <w:rFonts w:ascii="Times New Roman" w:hAnsi="Times New Roman" w:cs="Times New Roman" w:eastAsia="Times New Roman"/>
      <w:b/>
      <w:bCs/>
      <w:sz w:val="48"/>
      <w:szCs w:val="48"/>
      <w:lang w:eastAsia="ru-RU"/>
    </w:rPr>
  </w:style>
  <w:style w:type="character" w:styleId="618" w:customStyle="1">
    <w:name w:val="Заголовок 2 Знак"/>
    <w:basedOn w:val="614"/>
    <w:link w:val="612"/>
    <w:uiPriority w:val="9"/>
    <w:rPr>
      <w:rFonts w:ascii="Times New Roman" w:hAnsi="Times New Roman" w:cs="Times New Roman" w:eastAsia="Times New Roman"/>
      <w:b/>
      <w:bCs/>
      <w:sz w:val="36"/>
      <w:szCs w:val="36"/>
      <w:lang w:eastAsia="ru-RU"/>
    </w:rPr>
  </w:style>
  <w:style w:type="character" w:styleId="619" w:customStyle="1">
    <w:name w:val="Заголовок 3 Знак"/>
    <w:basedOn w:val="614"/>
    <w:link w:val="613"/>
    <w:uiPriority w:val="9"/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620" w:customStyle="1">
    <w:name w:val="afheader"/>
    <w:basedOn w:val="610"/>
    <w:rPr>
      <w:rFonts w:ascii="Times New Roman" w:hAnsi="Times New Roman" w:eastAsia="Times New Roman"/>
      <w:b/>
      <w:bCs/>
      <w:sz w:val="28"/>
      <w:szCs w:val="28"/>
      <w:lang w:eastAsia="ru-RU"/>
    </w:rPr>
    <w:pPr>
      <w:jc w:val="center"/>
      <w:spacing w:lineRule="auto" w:line="240" w:after="100" w:afterAutospacing="1" w:before="100" w:beforeAutospacing="1"/>
    </w:pPr>
  </w:style>
  <w:style w:type="paragraph" w:styleId="621" w:customStyle="1">
    <w:name w:val="afsmallsize"/>
    <w:basedOn w:val="610"/>
    <w:rPr>
      <w:rFonts w:ascii="Times New Roman" w:hAnsi="Times New Roman" w:eastAsia="Times New Roman"/>
      <w:sz w:val="20"/>
      <w:szCs w:val="20"/>
      <w:lang w:eastAsia="ru-RU"/>
    </w:rPr>
    <w:pPr>
      <w:spacing w:lineRule="auto" w:line="240" w:after="100" w:afterAutospacing="1" w:before="100" w:beforeAutospacing="1"/>
    </w:pPr>
  </w:style>
  <w:style w:type="paragraph" w:styleId="622" w:customStyle="1">
    <w:name w:val="aftable"/>
    <w:basedOn w:val="610"/>
    <w:rPr>
      <w:rFonts w:ascii="Times New Roman" w:hAnsi="Times New Roman" w:eastAsia="Times New Roman"/>
      <w:sz w:val="24"/>
      <w:szCs w:val="24"/>
      <w:lang w:eastAsia="ru-RU"/>
    </w:rPr>
    <w:pPr>
      <w:spacing w:lineRule="auto" w:line="240" w:after="100" w:afterAutospacing="1" w:before="100" w:beforeAutospacing="1"/>
      <w:pBdr>
        <w:left w:val="single" w:color="000000" w:sz="6" w:space="0"/>
        <w:top w:val="single" w:color="000000" w:sz="6" w:space="0"/>
        <w:right w:val="single" w:color="000000" w:sz="6" w:space="0"/>
        <w:bottom w:val="single" w:color="000000" w:sz="6" w:space="0"/>
      </w:pBdr>
    </w:pPr>
  </w:style>
  <w:style w:type="paragraph" w:styleId="623" w:customStyle="1">
    <w:name w:val="aftable100"/>
    <w:basedOn w:val="610"/>
    <w:rPr>
      <w:rFonts w:ascii="Times New Roman" w:hAnsi="Times New Roman" w:eastAsia="Times New Roman"/>
      <w:sz w:val="24"/>
      <w:szCs w:val="24"/>
      <w:lang w:eastAsia="ru-RU"/>
    </w:rPr>
    <w:pPr>
      <w:spacing w:lineRule="auto" w:line="240" w:after="100" w:afterAutospacing="1" w:before="100" w:beforeAutospacing="1"/>
    </w:pPr>
  </w:style>
  <w:style w:type="paragraph" w:styleId="624" w:customStyle="1">
    <w:name w:val="afbold"/>
    <w:basedOn w:val="610"/>
    <w:rPr>
      <w:rFonts w:ascii="Times New Roman" w:hAnsi="Times New Roman" w:eastAsia="Times New Roman"/>
      <w:b/>
      <w:bCs/>
      <w:sz w:val="24"/>
      <w:szCs w:val="24"/>
      <w:lang w:eastAsia="ru-RU"/>
    </w:rPr>
    <w:pPr>
      <w:spacing w:lineRule="auto" w:line="240" w:after="100" w:afterAutospacing="1" w:before="100" w:beforeAutospacing="1"/>
    </w:pPr>
  </w:style>
  <w:style w:type="paragraph" w:styleId="625" w:customStyle="1">
    <w:name w:val="afcenter"/>
    <w:basedOn w:val="610"/>
    <w:rPr>
      <w:rFonts w:ascii="Times New Roman" w:hAnsi="Times New Roman" w:eastAsia="Times New Roman"/>
      <w:sz w:val="24"/>
      <w:szCs w:val="24"/>
      <w:lang w:eastAsia="ru-RU"/>
    </w:rPr>
    <w:pPr>
      <w:jc w:val="center"/>
      <w:spacing w:lineRule="auto" w:line="240" w:after="100" w:afterAutospacing="1" w:before="100" w:beforeAutospacing="1"/>
    </w:pPr>
  </w:style>
  <w:style w:type="paragraph" w:styleId="626" w:customStyle="1">
    <w:name w:val="afred"/>
    <w:basedOn w:val="610"/>
    <w:rPr>
      <w:rFonts w:ascii="Times New Roman" w:hAnsi="Times New Roman" w:eastAsia="Times New Roman"/>
      <w:color w:val="FF0000"/>
      <w:sz w:val="24"/>
      <w:szCs w:val="24"/>
      <w:lang w:eastAsia="ru-RU"/>
    </w:rPr>
    <w:pPr>
      <w:spacing w:lineRule="auto" w:line="240" w:after="100" w:afterAutospacing="1" w:before="100" w:beforeAutospacing="1"/>
    </w:pPr>
  </w:style>
  <w:style w:type="paragraph" w:styleId="627" w:customStyle="1">
    <w:name w:val="afgreen"/>
    <w:basedOn w:val="610"/>
    <w:rPr>
      <w:rFonts w:ascii="Times New Roman" w:hAnsi="Times New Roman" w:eastAsia="Times New Roman"/>
      <w:color w:val="008000"/>
      <w:sz w:val="24"/>
      <w:szCs w:val="24"/>
      <w:lang w:eastAsia="ru-RU"/>
    </w:rPr>
    <w:pPr>
      <w:spacing w:lineRule="auto" w:line="240" w:after="100" w:afterAutospacing="1" w:before="100" w:beforeAutospacing="1"/>
    </w:pPr>
  </w:style>
  <w:style w:type="table" w:styleId="628">
    <w:name w:val="Table Grid"/>
    <w:basedOn w:val="615"/>
    <w:uiPriority w:val="39"/>
    <w:rPr>
      <w:rFonts w:ascii="Calibri" w:hAnsi="Calibri" w:cs="Times New Roman" w:eastAsia="Calibri"/>
    </w:rPr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paragraph" w:styleId="629">
    <w:name w:val="List Paragraph"/>
    <w:basedOn w:val="610"/>
    <w:qFormat/>
    <w:uiPriority w:val="34"/>
    <w:pPr>
      <w:contextualSpacing w:val="true"/>
      <w:ind w:left="720"/>
    </w:pPr>
  </w:style>
  <w:style w:type="paragraph" w:styleId="630">
    <w:name w:val="No Spacing"/>
    <w:qFormat/>
    <w:uiPriority w:val="1"/>
    <w:rPr>
      <w:rFonts w:ascii="Calibri" w:hAnsi="Calibri" w:cs="Times New Roman" w:eastAsia="Calibri"/>
    </w:rPr>
    <w:pPr>
      <w:spacing w:lineRule="auto" w:line="240" w:after="0"/>
    </w:pPr>
  </w:style>
  <w:style w:type="paragraph" w:styleId="631">
    <w:name w:val="Balloon Text"/>
    <w:basedOn w:val="610"/>
    <w:link w:val="632"/>
    <w:uiPriority w:val="99"/>
    <w:semiHidden/>
    <w:unhideWhenUsed/>
    <w:rPr>
      <w:rFonts w:ascii="Segoe UI" w:hAnsi="Segoe UI" w:cs="Segoe UI"/>
      <w:sz w:val="18"/>
      <w:szCs w:val="18"/>
    </w:rPr>
    <w:pPr>
      <w:spacing w:lineRule="auto" w:line="240" w:after="0"/>
    </w:pPr>
  </w:style>
  <w:style w:type="character" w:styleId="632" w:customStyle="1">
    <w:name w:val="Текст выноски Знак"/>
    <w:basedOn w:val="614"/>
    <w:link w:val="631"/>
    <w:uiPriority w:val="99"/>
    <w:semiHidden/>
    <w:rPr>
      <w:rFonts w:ascii="Segoe UI" w:hAnsi="Segoe UI" w:cs="Segoe UI" w:eastAsia="Calibri"/>
      <w:sz w:val="18"/>
      <w:szCs w:val="18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F99BD722-F3A5-4EC7-8445-B8EE6BF35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ONLYOFFICE/6.4.2.6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Косырева Галина Геннадьевна</dc:creator>
  <cp:revision>25</cp:revision>
  <dcterms:created xsi:type="dcterms:W3CDTF">2021-06-08T07:30:00Z</dcterms:created>
  <dcterms:modified xsi:type="dcterms:W3CDTF">2023-11-15T23:50:47Z</dcterms:modified>
</cp:coreProperties>
</file>