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813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СТОЙБИНСКОГО СЕЛЬСОВЕТА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СЕЛЕМДЖИНСКОГО РАЙОНА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</w:t>
      </w:r>
      <w:r>
        <w:rPr>
          <w:rFonts w:ascii="Times New Roman" w:hAnsi="Times New Roman"/>
          <w:b/>
          <w:spacing w:val="20"/>
          <w:sz w:val="28"/>
          <w:szCs w:val="28"/>
        </w:rPr>
      </w:r>
      <w:r/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3"/>
        <w:jc w:val="lef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11 мая 2022 г.                                                                                                 № 25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3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с. Стойба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Style w:val="816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536"/>
      </w:tblGrid>
      <w:tr>
        <w:trPr>
          <w:trHeight w:val="2030"/>
        </w:trPr>
        <w:tc>
          <w:tcPr>
            <w:tcW w:w="45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О внесении изменений и дополнений в постановление от 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07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.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12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.2021 г. N 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82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 "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</w:t>
            </w:r>
            <w:bookmarkStart w:id="0" w:name="_Hlk101081910"/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 на 2022-2024</w:t>
            </w:r>
            <w:bookmarkEnd w:id="0"/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"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В целях перераспределения бюджетных ассигнований по подпрограммным мероприятиям и направления деятельности в пределах общего объема бюджетных ассигнований, предусмотренных в текущем финансовом году на её реализацию  </w:t>
      </w:r>
      <w:bookmarkStart w:id="1" w:name="_Hlk101033860"/>
      <w:r/>
      <w:bookmarkStart w:id="2" w:name="_Hlk101032676"/>
      <w:r/>
      <w:bookmarkStart w:id="3" w:name="_Hlk101082248"/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bookmarkEnd w:id="3"/>
      <w:r>
        <w:rPr>
          <w:rFonts w:eastAsiaTheme="minorHAnsi"/>
        </w:rPr>
      </w:r>
      <w:bookmarkEnd w:id="1"/>
      <w:r>
        <w:rPr>
          <w:rFonts w:eastAsiaTheme="minorHAnsi"/>
        </w:rPr>
      </w:r>
      <w:bookmarkEnd w:id="2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п о с т а н о в л я е т: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4"/>
        <w:numPr>
          <w:ilvl w:val="0"/>
          <w:numId w:val="1"/>
        </w:numPr>
        <w:jc w:val="both"/>
        <w:widowControl w:val="off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Внести в муниципальную программу «</w:t>
      </w:r>
      <w:r>
        <w:rPr>
          <w:rFonts w:ascii="Times New Roman" w:hAnsi="Times New Roman" w:eastAsiaTheme="minorHAnsi"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cs="Times New Roman" w:eastAsia="Calibri" w:eastAsiaTheme="minorHAnsi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, утвержденную постановлением главы Стойбинского сельсовета от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07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12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.2021 г. №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87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 w:eastAsiaTheme="minorHAnsi"/>
          <w:b w:val="false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b w:val="false"/>
          <w:color w:val="1E1D1E"/>
          <w:sz w:val="28"/>
          <w:highlight w:val="white"/>
        </w:rPr>
        <w:t xml:space="preserve">актуальная редакция Постановления  с учетом внесенных изменений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от 18.04.2022 г. № 20    «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О внесении изменений и дополнений в постановление от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07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12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.2021 г. N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82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"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"</w:t>
      </w:r>
      <w:r>
        <w:rPr>
          <w:rFonts w:ascii="Times New Roman" w:hAnsi="Times New Roman" w:eastAsiaTheme="minorHAnsi"/>
          <w:lang w:eastAsia="en-US"/>
        </w:rPr>
        <w:t xml:space="preserve">)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менения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 2.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Изменения и дополнения в постановление вступают в силу с момента его подписания.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         3.</w:t>
      </w:r>
      <w:r>
        <w:rPr>
          <w:rFonts w:ascii="Calibri" w:hAnsi="Calibri" w:cs="Times New Roman" w:eastAsia="Calibri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Настоящее постановление подлежит размещению на официальном сайте администрации Стойбинского сельсовета в сети Интернет.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   4.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Контроль за исполнением настоящего постановления оставляю за собой.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Глава Стойбинского сельсовета                                                              А.А. Даниленко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Приложение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к постановлению главы Стойбинского сельсовета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от 11.05.2022 г.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№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highlight w:val="none"/>
        </w:rPr>
        <w:t xml:space="preserve">25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муниципальную программу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«</w:t>
      </w:r>
      <w:bookmarkStart w:id="4" w:name="_Hlk101034075"/>
      <w:r>
        <w:rPr>
          <w:rFonts w:eastAsiaTheme="minorHAnsi"/>
        </w:rPr>
      </w:r>
      <w:bookmarkStart w:id="5" w:name="_Hlk101082329"/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на 2022-2024</w:t>
      </w:r>
      <w:bookmarkEnd w:id="5"/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» </w:t>
      </w:r>
      <w:bookmarkEnd w:id="4"/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утвержденную постановлением главы Стойбинского сельсовета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 w:firstLine="567"/>
        <w:jc w:val="center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07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12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.2021 г. № 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82</w:t>
      </w:r>
      <w:r>
        <w:rPr>
          <w:rFonts w:eastAsiaTheme="minorHAnsi"/>
        </w:rPr>
        <w:t xml:space="preserve"> </w:t>
      </w:r>
      <w:r>
        <w:rPr>
          <w:rFonts w:eastAsiaTheme="minorHAnsi"/>
          <w:b/>
        </w:rPr>
        <w:t xml:space="preserve">(</w:t>
      </w:r>
      <w:r>
        <w:rPr>
          <w:rFonts w:ascii="Times New Roman" w:hAnsi="Times New Roman" w:cs="Times New Roman" w:eastAsia="Times New Roman" w:eastAsiaTheme="minorHAnsi"/>
          <w:b/>
          <w:color w:val="1E1D1E"/>
          <w:sz w:val="28"/>
          <w:highlight w:val="white"/>
        </w:rPr>
        <w:t xml:space="preserve">актуальная редакция Постановления  с учетом внесенных изменений</w:t>
      </w: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от 18.04.2022 г. № 20    «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О внесении изменений и дополнений в постановление от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07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12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.2021 г. N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82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 "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")</w:t>
      </w:r>
      <w:r>
        <w:rPr>
          <w:rFonts w:eastAsiaTheme="minorHAnsi"/>
          <w:b/>
        </w:rPr>
      </w:r>
      <w:r>
        <w:rPr>
          <w:rFonts w:eastAsiaTheme="minorHAnsi"/>
          <w:b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1. Перераспределить денежные средства следующим образом: </w:t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-программное мероприятие 1.3 «Платежи за ремонт и содержание муниципального жилого фонда» уменьшить  на 80,0 тыс. руб.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 (см. далее в таблице</w:t>
      </w:r>
      <w:r>
        <w:rPr>
          <w:rFonts w:eastAsiaTheme="minorHAnsi"/>
        </w:rPr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).</w:t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-программное мероприятие 1.4 «Определения технического состояния жилых домов в части муниципального жилого фонда» увеличить   на 80,0 тыс. руб.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 (см. далее в таблице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</w:rPr>
        <w:t xml:space="preserve">).</w:t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</w:rPr>
      </w:r>
    </w:p>
    <w:p>
      <w:pPr>
        <w:pStyle w:val="813"/>
        <w:jc w:val="both"/>
        <w:tabs>
          <w:tab w:val="left" w:pos="851" w:leader="none"/>
        </w:tabs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426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4"/>
      </w:tblGrid>
      <w:tr>
        <w:trPr>
          <w:trHeight w:val="315"/>
        </w:trPr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Приложение №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 постановлению от 11.05.2022 № 25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Система программных мероприятий</w:t>
            </w:r>
            <w:r>
              <w:rPr>
                <w:rFonts w:ascii="Times New Roman" w:hAnsi="Times New Roman" w:cs="Times New Roman" w:eastAsia="Times New Roman"/>
                <w:b/>
                <w:bCs/>
                <w:sz w:val="36"/>
                <w:szCs w:val="36"/>
              </w:rPr>
            </w:r>
            <w:r/>
          </w:p>
        </w:tc>
      </w:tr>
    </w:tbl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666"/>
        <w:tblW w:w="15417" w:type="dxa"/>
        <w:tblLayout w:type="fixed"/>
        <w:tblLook w:val="04A0" w:firstRow="1" w:lastRow="0" w:firstColumn="1" w:lastColumn="0" w:noHBand="0" w:noVBand="1"/>
      </w:tblPr>
      <w:tblGrid>
        <w:gridCol w:w="775"/>
        <w:gridCol w:w="2447"/>
        <w:gridCol w:w="709"/>
        <w:gridCol w:w="425"/>
        <w:gridCol w:w="1276"/>
        <w:gridCol w:w="1422"/>
        <w:gridCol w:w="1276"/>
        <w:gridCol w:w="1451"/>
        <w:gridCol w:w="8"/>
        <w:gridCol w:w="3920"/>
        <w:gridCol w:w="1708"/>
      </w:tblGrid>
      <w:tr>
        <w:trPr>
          <w:cantSplit/>
          <w:trHeight w:val="480"/>
        </w:trPr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Наименование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ind w:left="113" w:right="113"/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Источник финансирования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113" w:right="113"/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Объем финансирования, тыс. рубл.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414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Финансирование по годам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392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Ожидаемый результат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Муниципальный заказчик, исполнитель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77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btLr"/>
            <w:noWrap w:val="false"/>
          </w:tcPr>
          <w:p>
            <w:pPr>
              <w:ind w:left="113" w:right="113"/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11"/>
            <w:tcW w:w="1541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 Недвижимое муниципальное имущество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635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Ремонт и содержание недвижимого имущества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Местный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бюджет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поселения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Ремонт зданий и сооружений, повышение уровня эксплуатационной надежности муниципальных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50"/>
        </w:trPr>
        <w:tc>
          <w:tcPr>
            <w:tcBorders>
              <w:bottom w:val="single" w:color="000000" w:sz="4" w:space="0"/>
            </w:tcBorders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Осуществление взносов на капитальный ремонт муниципального жилого фонда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125,00000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135,00000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Отсутствие задолженности по взносам за капитальный ремонт многоквартирных жилых домов в части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8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80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Платежи за ремонт и содержание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Отсутствие задолженности за коммунальные услуги за пустующие муниципальные жилые помещения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80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Определения технического состояния жилых домов в части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230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6"/>
        </w:trPr>
        <w:tc>
          <w:tcPr>
            <w:gridSpan w:val="5"/>
            <w:tcW w:w="563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525,000000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390,00000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405,00000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3"/>
            <w:tcW w:w="563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3"/>
        <w:jc w:val="center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uiPriority w:val="39"/>
    <w:rPr>
      <w:rFonts w:eastAsia="Times New Roman" w:asciiTheme="minorHAnsi" w:hAnsiTheme="minorHAnsi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817" w:customStyle="1">
    <w:name w:val="Сетка таблицы2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2022-05-11T05:44:08Z</dcterms:modified>
</cp:coreProperties>
</file>