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РОССИЙСКАЯ ФЕДЕРАЦИЯ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АДМИНИСТРАЦИЯ СТОЙБИНСКОГО СЕЛЬСОВЕТА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СЕЛЕМДЖИНСКОГО РАЙОНА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АМУРСКОЙ ОБЛАСТИ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FF0000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eastAsia="Times New Roman"/>
          <w:b/>
          <w:color w:val="FF0000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ПОСТАНОВЛЕНИЕ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12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июля  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2022 г.                                                                                             №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 36</w:t>
      </w: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                 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6"/>
          <w:lang w:eastAsia="ru-RU"/>
        </w:rPr>
        <w:t xml:space="preserve">с. Стойба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shd w:val="clear" w:color="FFFFFF" w:fill="FFFFFF"/>
            <w:tcW w:w="453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от 25.06.2021 г. N 36 "Об утверждении муниципальной программы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государственной регистрации прав собственности на муниципальное имущество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В соответствии со статьей 179 Бюджетного кодекса Российской Федерации, администрация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 о с т а н о в л я е т: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муниципальную программу "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", утвержденную постановлением главы от 25.06.2021 г. № 36  (актуальная редакция Постановления с учетом внесенных изменений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07.12.2021 № 76 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внесении изменений и дополнений в постановление от 25.06.2021 г. N 36 "Об утверждении муниципальной программы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") изменения согласно приложению к настоящему постановлению.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2. Изменения и дополнения в  постановление вступают в силу с момента его подписания.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jc w:val="both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</w:t>
      </w:r>
      <w:r>
        <w:rPr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сельсовета в сети Интернет.</w:t>
      </w:r>
      <w:r>
        <w:rPr>
          <w:sz w:val="28"/>
        </w:rPr>
      </w:r>
      <w:r/>
    </w:p>
    <w:p>
      <w:pPr>
        <w:jc w:val="both"/>
        <w:spacing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онтроль за исполнением настоящего постановления оставляю за собой.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200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6"/>
          <w:lang w:eastAsia="ru-RU"/>
        </w:rPr>
        <w:t xml:space="preserve">Стойбинского</w:t>
      </w:r>
      <w:r>
        <w:rPr>
          <w:rFonts w:ascii="Times New Roman" w:hAnsi="Times New Roman"/>
          <w:sz w:val="28"/>
          <w:szCs w:val="26"/>
          <w:lang w:eastAsia="ru-RU"/>
        </w:rPr>
        <w:t xml:space="preserve"> сельсовета                                                                      А.А. Даниленко</w:t>
      </w:r>
      <w:r>
        <w:rPr>
          <w:sz w:val="28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sz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ПРИЛОЖЕНИЕ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 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июля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2022 г. 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36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highlight w:val="none"/>
          <w:lang w:eastAsia="ru-RU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Изменения, вносимые в муниципальную программу «О государственной регистрации прав собственности на муниципальное имущество Стойбинского сельсовета», утвержденную постановление главы от 07.12.2021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(актуальная редакция Постановления с учетом внесенных изменений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07.12.2021 № 76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от 25.06.2021 г. N 36 "Об утверждении муниципальной программы «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государственной регистрации прав собственности на муниципальное имущество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")</w:t>
      </w:r>
      <w:r>
        <w:rPr>
          <w:b/>
        </w:rPr>
      </w:r>
      <w:r/>
    </w:p>
    <w:p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4"/>
        <w:numPr>
          <w:ilvl w:val="0"/>
          <w:numId w:val="3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Перераспределить денежные средства следующим образом: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4"/>
        <w:numPr>
          <w:ilvl w:val="0"/>
          <w:numId w:val="4"/>
        </w:num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Программное мероприятие № 2 «Оценка рыночной  стоимости имущества» уменьшить на 10,0 тыс. руб. (см. далее в таблице).</w:t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pStyle w:val="82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  <w:t xml:space="preserve">Программное мероприятие № 3 «Определение рыночной обоснованности арендной платы за объекты аренды, являющихся собственностью муниципального образования с. Стойба» увеличить  на 10,0 тыс. руб. (см. далее в таблице).</w:t>
      </w:r>
      <w:r>
        <w:rPr>
          <w:rFonts w:ascii="Times New Roman" w:hAnsi="Times New Roman"/>
          <w:b w:val="false"/>
          <w:sz w:val="28"/>
          <w:szCs w:val="28"/>
        </w:rPr>
      </w:r>
      <w:r/>
    </w:p>
    <w:p>
      <w:pPr>
        <w:ind w:left="1429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rFonts w:ascii="Times New Roman" w:hAnsi="Times New Roman"/>
          <w:b w:val="false"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/>
        <w:jc w:val="both"/>
        <w:rPr>
          <w:rFonts w:ascii="Times New Roman" w:hAnsi="Times New Roman"/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567" w:bottom="426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</w:t>
      </w:r>
      <w:r>
        <w:rPr>
          <w:rFonts w:ascii="Times New Roman" w:hAnsi="Times New Roman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остановлени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Стойбинского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24"/>
        <w:jc w:val="righ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 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июля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2022 г. 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36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</w:t>
      </w:r>
      <w:r>
        <w:rPr>
          <w:rFonts w:ascii="Times New Roman" w:hAnsi="Times New Roman"/>
        </w:rPr>
      </w:r>
      <w:r/>
    </w:p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программных мероприятий</w:t>
      </w:r>
      <w:r>
        <w:rPr>
          <w:rFonts w:ascii="Times New Roman" w:hAnsi="Times New Roman"/>
        </w:rPr>
      </w:r>
      <w:r/>
    </w:p>
    <w:tbl>
      <w:tblPr>
        <w:tblW w:w="14884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>
        <w:trPr>
          <w:trHeight w:val="1080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рования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руб.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W w:w="424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 годам реализации, тыс. руб.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результат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заказчик,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7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0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97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регистрация права собственности на муниципальные объекты.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Стойбинского</w:t>
            </w:r>
            <w:r>
              <w:rPr>
                <w:rFonts w:ascii="Times New Roman" w:hAnsi="Times New Roman"/>
              </w:rPr>
              <w:t xml:space="preserve"> сельсовета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00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рыночной стоимости имущества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Продажа неэффективного имущества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2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рыночной обоснованности арендной платы за объекты аренды, являющихся собственностью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с.Стойба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муниципального имущества в аренду на конкурсной основе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26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954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юридических услуг в сфере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83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both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Эффективное управление имуществом, повышение доходной части бюджета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9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4737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,0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7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2022-07-12T04:20:38Z</dcterms:modified>
</cp:coreProperties>
</file>